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9283A">
      <w:pPr>
        <w:spacing w:before="312" w:beforeLines="100" w:after="312" w:afterLines="100"/>
        <w:jc w:val="center"/>
        <w:rPr>
          <w:rFonts w:hint="eastAsia" w:ascii="微软雅黑" w:hAnsi="微软雅黑" w:eastAsia="微软雅黑"/>
          <w:b/>
          <w:sz w:val="36"/>
          <w:szCs w:val="36"/>
        </w:rPr>
      </w:pPr>
      <w:r>
        <w:rPr>
          <w:rFonts w:hint="eastAsia" w:ascii="微软雅黑" w:hAnsi="微软雅黑" w:eastAsia="微软雅黑"/>
          <w:b/>
          <w:sz w:val="36"/>
          <w:szCs w:val="36"/>
          <w:lang w:eastAsia="zh-Hans"/>
        </w:rPr>
        <w:t>大数据技术</w:t>
      </w:r>
      <w:r>
        <w:rPr>
          <w:rFonts w:hint="eastAsia" w:ascii="微软雅黑" w:hAnsi="微软雅黑" w:eastAsia="微软雅黑"/>
          <w:b/>
          <w:sz w:val="36"/>
          <w:szCs w:val="36"/>
        </w:rPr>
        <w:t>专业转专业录取办法</w:t>
      </w:r>
    </w:p>
    <w:p w14:paraId="6169227E">
      <w:pPr>
        <w:pStyle w:val="2"/>
        <w:spacing w:before="312" w:after="312" w:line="360" w:lineRule="auto"/>
        <w:ind w:firstLine="560" w:firstLineChars="200"/>
        <w:rPr>
          <w:rFonts w:hint="eastAsia" w:asciiTheme="minorEastAsia" w:hAnsiTheme="minorEastAsia" w:eastAsiaTheme="minorEastAsia"/>
          <w:color w:val="auto"/>
          <w:sz w:val="28"/>
          <w:szCs w:val="28"/>
        </w:rPr>
      </w:pPr>
      <w:bookmarkStart w:id="0" w:name="_Toc396497324"/>
      <w:bookmarkStart w:id="1" w:name="_Toc393236437"/>
      <w:bookmarkStart w:id="2" w:name="_Toc396497634"/>
      <w:bookmarkStart w:id="3" w:name="_Toc396501700"/>
      <w:bookmarkStart w:id="4" w:name="_Toc396497526"/>
      <w:r>
        <w:rPr>
          <w:rFonts w:hint="eastAsia" w:asciiTheme="minorEastAsia" w:hAnsiTheme="minorEastAsia" w:eastAsiaTheme="minorEastAsia"/>
          <w:color w:val="auto"/>
          <w:sz w:val="28"/>
          <w:szCs w:val="28"/>
        </w:rPr>
        <w:t>为适应高等职业教育改革与发展，充分</w:t>
      </w:r>
      <w:r>
        <w:rPr>
          <w:rFonts w:hint="eastAsia" w:ascii="Times New Roman" w:hAnsi="Calibri" w:eastAsia="宋体"/>
          <w:color w:val="auto"/>
          <w:sz w:val="28"/>
          <w:szCs w:val="28"/>
        </w:rPr>
        <w:t>体现</w:t>
      </w:r>
      <w:r>
        <w:rPr>
          <w:rFonts w:hint="eastAsia" w:asciiTheme="minorEastAsia" w:hAnsiTheme="minorEastAsia" w:eastAsiaTheme="minorEastAsia"/>
          <w:color w:val="auto"/>
          <w:sz w:val="28"/>
          <w:szCs w:val="28"/>
        </w:rPr>
        <w:t>“以生为本”的教育理念，尊重学生个人志向，发挥学生专长，激发学生学习积极性、主动性，进一步完善个性化人才培养模式，进一步规范学校学生转专业行为，科学稳妥地组织转专业相关工作，依据《江苏海事职业技术学院学生学籍管理办法》制定本办法。</w:t>
      </w:r>
    </w:p>
    <w:p w14:paraId="195D2B7F">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一、专业基本信息</w:t>
      </w:r>
      <w:bookmarkEnd w:id="0"/>
      <w:bookmarkEnd w:id="1"/>
      <w:bookmarkEnd w:id="2"/>
      <w:bookmarkEnd w:id="3"/>
      <w:bookmarkEnd w:id="4"/>
    </w:p>
    <w:p w14:paraId="265A53F2">
      <w:pPr>
        <w:pStyle w:val="3"/>
        <w:spacing w:before="156" w:after="156"/>
        <w:ind w:firstLine="0" w:firstLineChars="0"/>
        <w:rPr>
          <w:rFonts w:hint="eastAsia" w:ascii="微软雅黑" w:hAnsi="微软雅黑" w:eastAsia="微软雅黑"/>
          <w:b/>
          <w:color w:val="auto"/>
        </w:rPr>
      </w:pPr>
      <w:bookmarkStart w:id="5" w:name="_Toc396497635"/>
      <w:bookmarkStart w:id="6" w:name="_Toc393236438"/>
      <w:bookmarkStart w:id="7" w:name="_Toc396501701"/>
      <w:bookmarkStart w:id="8" w:name="_Toc396497527"/>
      <w:bookmarkStart w:id="9" w:name="_Toc396497325"/>
      <w:r>
        <w:rPr>
          <w:rFonts w:ascii="微软雅黑" w:hAnsi="微软雅黑" w:eastAsia="微软雅黑"/>
          <w:b/>
          <w:color w:val="auto"/>
        </w:rPr>
        <w:t>（一）专业名称</w:t>
      </w:r>
      <w:bookmarkEnd w:id="5"/>
      <w:bookmarkEnd w:id="6"/>
      <w:bookmarkEnd w:id="7"/>
      <w:bookmarkEnd w:id="8"/>
      <w:bookmarkEnd w:id="9"/>
    </w:p>
    <w:p w14:paraId="7D53CADF">
      <w:pPr>
        <w:adjustRightInd w:val="0"/>
        <w:snapToGrid w:val="0"/>
        <w:spacing w:line="360" w:lineRule="auto"/>
        <w:ind w:firstLine="560" w:firstLineChars="200"/>
        <w:rPr>
          <w:rFonts w:ascii="Times New Roman" w:hAnsi="Times New Roman"/>
          <w:sz w:val="28"/>
          <w:szCs w:val="28"/>
        </w:rPr>
      </w:pPr>
      <w:r>
        <w:rPr>
          <w:rFonts w:hint="eastAsia" w:ascii="Times New Roman" w:hAnsi="Times New Roman"/>
          <w:sz w:val="28"/>
          <w:szCs w:val="28"/>
        </w:rPr>
        <w:t>大数据技术</w:t>
      </w:r>
      <w:r>
        <w:rPr>
          <w:rFonts w:ascii="Times New Roman" w:hAnsi="Times New Roman"/>
          <w:sz w:val="28"/>
          <w:szCs w:val="28"/>
        </w:rPr>
        <w:t xml:space="preserve">        </w:t>
      </w:r>
      <w:r>
        <w:rPr>
          <w:rFonts w:ascii="Times New Roman"/>
          <w:sz w:val="28"/>
          <w:szCs w:val="28"/>
        </w:rPr>
        <w:t>专业代码</w:t>
      </w:r>
      <w:r>
        <w:rPr>
          <w:rFonts w:ascii="Times New Roman" w:hAnsi="Times New Roman" w:eastAsia="楷体_GB2312"/>
          <w:sz w:val="28"/>
          <w:szCs w:val="28"/>
        </w:rPr>
        <w:t xml:space="preserve"> </w:t>
      </w:r>
      <w:r>
        <w:rPr>
          <w:rFonts w:ascii="Times New Roman" w:hAnsi="Times New Roman"/>
          <w:sz w:val="28"/>
          <w:szCs w:val="28"/>
        </w:rPr>
        <w:t>510205</w:t>
      </w:r>
    </w:p>
    <w:p w14:paraId="01B8C18E">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二</w:t>
      </w:r>
      <w:r>
        <w:rPr>
          <w:rFonts w:ascii="微软雅黑" w:hAnsi="微软雅黑" w:eastAsia="微软雅黑"/>
          <w:b/>
          <w:color w:val="auto"/>
          <w:sz w:val="28"/>
          <w:szCs w:val="28"/>
        </w:rPr>
        <w:t>）人才培养目标</w:t>
      </w:r>
    </w:p>
    <w:p w14:paraId="0D775042">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本专业培养德智体美劳全面发展，掌握扎实的科学文化基础及数据库基本原理、程序设计、操作系统原理、计算机网络及相关法律法规等知识，具备大数据项目方案设计及实施等能力，具有工匠精神和信息素养，能够从事大数据实施与运维、数据采集与处理、大数据分析与可视化、大数据平台管理、大数据技术服务与产品运营等工作的高素质技术技能人才。主要专业能力要求如下：</w:t>
      </w:r>
    </w:p>
    <w:p w14:paraId="354EAF8C">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asciiTheme="minorEastAsia" w:hAnsiTheme="minorEastAsia" w:eastAsiaTheme="minorEastAsia"/>
          <w:color w:val="auto"/>
          <w:sz w:val="28"/>
          <w:szCs w:val="28"/>
        </w:rPr>
        <w:t xml:space="preserve">1. </w:t>
      </w:r>
      <w:r>
        <w:rPr>
          <w:rFonts w:hint="eastAsia" w:asciiTheme="minorEastAsia" w:hAnsiTheme="minorEastAsia" w:eastAsiaTheme="minorEastAsia"/>
          <w:color w:val="auto"/>
          <w:sz w:val="28"/>
          <w:szCs w:val="28"/>
        </w:rPr>
        <w:t>具备初步分析用户业务需求，制订大数据项目解决方案的基础能力；</w:t>
      </w:r>
    </w:p>
    <w:p w14:paraId="26B150D9">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asciiTheme="minorEastAsia" w:hAnsiTheme="minorEastAsia" w:eastAsiaTheme="minorEastAsia"/>
          <w:color w:val="auto"/>
          <w:sz w:val="28"/>
          <w:szCs w:val="28"/>
        </w:rPr>
        <w:t xml:space="preserve">2. </w:t>
      </w:r>
      <w:r>
        <w:rPr>
          <w:rFonts w:hint="eastAsia" w:asciiTheme="minorEastAsia" w:hAnsiTheme="minorEastAsia" w:eastAsiaTheme="minorEastAsia"/>
          <w:color w:val="auto"/>
          <w:sz w:val="28"/>
          <w:szCs w:val="28"/>
        </w:rPr>
        <w:t>具备开发数据采集、抽取、清洗、转换与加载等数据预处理模型的能力；</w:t>
      </w:r>
    </w:p>
    <w:p w14:paraId="7B775724">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asciiTheme="minorEastAsia" w:hAnsiTheme="minorEastAsia" w:eastAsiaTheme="minorEastAsia"/>
          <w:color w:val="auto"/>
          <w:sz w:val="28"/>
          <w:szCs w:val="28"/>
        </w:rPr>
        <w:t xml:space="preserve">3. </w:t>
      </w:r>
      <w:r>
        <w:rPr>
          <w:rFonts w:hint="eastAsia" w:asciiTheme="minorEastAsia" w:hAnsiTheme="minorEastAsia" w:eastAsiaTheme="minorEastAsia"/>
          <w:color w:val="auto"/>
          <w:sz w:val="28"/>
          <w:szCs w:val="28"/>
        </w:rPr>
        <w:t>具备安装部署与使用数据分析工具，运用大数据分析平台完成大数据分析任务的能力；</w:t>
      </w:r>
    </w:p>
    <w:p w14:paraId="2C56F6C4">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asciiTheme="minorEastAsia" w:hAnsiTheme="minorEastAsia" w:eastAsiaTheme="minorEastAsia"/>
          <w:color w:val="auto"/>
          <w:sz w:val="28"/>
          <w:szCs w:val="28"/>
        </w:rPr>
        <w:t xml:space="preserve">4. </w:t>
      </w:r>
      <w:r>
        <w:rPr>
          <w:rFonts w:hint="eastAsia" w:asciiTheme="minorEastAsia" w:hAnsiTheme="minorEastAsia" w:eastAsiaTheme="minorEastAsia"/>
          <w:color w:val="auto"/>
          <w:sz w:val="28"/>
          <w:szCs w:val="28"/>
        </w:rPr>
        <w:t>具备数据可视化设计，开发应用程序进行数据可视化展示，以及撰写数据可视化结果分析报告的能力；</w:t>
      </w:r>
    </w:p>
    <w:p w14:paraId="1F458C41">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asciiTheme="minorEastAsia" w:hAnsiTheme="minorEastAsia" w:eastAsiaTheme="minorEastAsia"/>
          <w:color w:val="auto"/>
          <w:sz w:val="28"/>
          <w:szCs w:val="28"/>
        </w:rPr>
        <w:t xml:space="preserve">5. </w:t>
      </w:r>
      <w:r>
        <w:rPr>
          <w:rFonts w:hint="eastAsia" w:asciiTheme="minorEastAsia" w:hAnsiTheme="minorEastAsia" w:eastAsiaTheme="minorEastAsia"/>
          <w:color w:val="auto"/>
          <w:sz w:val="28"/>
          <w:szCs w:val="28"/>
        </w:rPr>
        <w:t>具备大数据平台搭建部署与基本使用，以及大数据集群运维能力；</w:t>
      </w:r>
    </w:p>
    <w:p w14:paraId="4A22654A">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asciiTheme="minorEastAsia" w:hAnsiTheme="minorEastAsia" w:eastAsiaTheme="minorEastAsia"/>
          <w:color w:val="auto"/>
          <w:sz w:val="28"/>
          <w:szCs w:val="28"/>
        </w:rPr>
        <w:t xml:space="preserve">6. </w:t>
      </w:r>
      <w:r>
        <w:rPr>
          <w:rFonts w:hint="eastAsia" w:asciiTheme="minorEastAsia" w:hAnsiTheme="minorEastAsia" w:eastAsiaTheme="minorEastAsia"/>
          <w:color w:val="auto"/>
          <w:sz w:val="28"/>
          <w:szCs w:val="28"/>
        </w:rPr>
        <w:t>具备大数据平台管理、大数据技术服务、大数据产品运营等应用能力；</w:t>
      </w:r>
    </w:p>
    <w:p w14:paraId="2494B342">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asciiTheme="minorEastAsia" w:hAnsiTheme="minorEastAsia" w:eastAsiaTheme="minorEastAsia"/>
          <w:color w:val="auto"/>
          <w:sz w:val="28"/>
          <w:szCs w:val="28"/>
        </w:rPr>
        <w:t xml:space="preserve">7. </w:t>
      </w:r>
      <w:r>
        <w:rPr>
          <w:rFonts w:hint="eastAsia" w:asciiTheme="minorEastAsia" w:hAnsiTheme="minorEastAsia" w:eastAsiaTheme="minorEastAsia"/>
          <w:color w:val="auto"/>
          <w:sz w:val="28"/>
          <w:szCs w:val="28"/>
        </w:rPr>
        <w:t>具备基于行业应用与典型工作场景，解决业务需求的数字技术综合应用能力；</w:t>
      </w:r>
    </w:p>
    <w:p w14:paraId="77ADA99D">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8. 具备数据治理（1+X证书）所需的业务知识和专业技能，能够</w:t>
      </w:r>
      <w:r>
        <w:rPr>
          <w:rFonts w:asciiTheme="minorEastAsia" w:hAnsiTheme="minorEastAsia" w:eastAsiaTheme="minorEastAsia"/>
          <w:color w:val="auto"/>
          <w:sz w:val="28"/>
          <w:szCs w:val="28"/>
        </w:rPr>
        <w:t>进行数据治理项目的规划、实施和管理，确保数据的质量、安全和合规性。</w:t>
      </w:r>
    </w:p>
    <w:p w14:paraId="5C50E68B">
      <w:pPr>
        <w:pStyle w:val="2"/>
        <w:spacing w:beforeLines="0" w:afterLines="0" w:line="360" w:lineRule="auto"/>
        <w:ind w:firstLine="560" w:firstLineChars="200"/>
        <w:rPr>
          <w:rFonts w:hint="eastAsia"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9</w:t>
      </w:r>
      <w:r>
        <w:rPr>
          <w:rFonts w:asciiTheme="minorEastAsia" w:hAnsiTheme="minorEastAsia" w:eastAsiaTheme="minorEastAsia"/>
          <w:color w:val="auto"/>
          <w:sz w:val="28"/>
          <w:szCs w:val="28"/>
        </w:rPr>
        <w:t xml:space="preserve">. </w:t>
      </w:r>
      <w:r>
        <w:rPr>
          <w:rFonts w:hint="eastAsia" w:asciiTheme="minorEastAsia" w:hAnsiTheme="minorEastAsia" w:eastAsiaTheme="minorEastAsia"/>
          <w:color w:val="auto"/>
          <w:sz w:val="28"/>
          <w:szCs w:val="28"/>
        </w:rPr>
        <w:t>具有探究学习、终身学习和可持续发展的能力。</w:t>
      </w:r>
    </w:p>
    <w:p w14:paraId="27D41005"/>
    <w:p w14:paraId="5DB25FB2">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（三）职业岗位及发展</w:t>
      </w:r>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747"/>
        <w:gridCol w:w="1350"/>
        <w:gridCol w:w="1324"/>
        <w:gridCol w:w="1666"/>
        <w:gridCol w:w="1007"/>
        <w:gridCol w:w="1732"/>
      </w:tblGrid>
      <w:tr w14:paraId="4EDAA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 w:type="pct"/>
            <w:tcMar>
              <w:left w:w="57" w:type="dxa"/>
              <w:right w:w="57" w:type="dxa"/>
            </w:tcMar>
            <w:vAlign w:val="center"/>
          </w:tcPr>
          <w:p w14:paraId="1F0E0A7B">
            <w:pPr>
              <w:pStyle w:val="107"/>
              <w:rPr>
                <w:rFonts w:cs="宋体"/>
                <w:sz w:val="24"/>
                <w:szCs w:val="24"/>
              </w:rPr>
            </w:pPr>
            <w:r>
              <w:rPr>
                <w:rFonts w:hint="eastAsia" w:cs="宋体"/>
                <w:sz w:val="24"/>
                <w:szCs w:val="24"/>
              </w:rPr>
              <w:t>专业大类（代码）</w:t>
            </w:r>
          </w:p>
        </w:tc>
        <w:tc>
          <w:tcPr>
            <w:tcW w:w="463" w:type="pct"/>
            <w:tcMar>
              <w:left w:w="57" w:type="dxa"/>
              <w:right w:w="57" w:type="dxa"/>
            </w:tcMar>
            <w:vAlign w:val="center"/>
          </w:tcPr>
          <w:p w14:paraId="78B4C9DA">
            <w:pPr>
              <w:pStyle w:val="107"/>
              <w:rPr>
                <w:rFonts w:cs="宋体"/>
                <w:sz w:val="24"/>
                <w:szCs w:val="24"/>
              </w:rPr>
            </w:pPr>
            <w:r>
              <w:rPr>
                <w:rFonts w:hint="eastAsia" w:cs="宋体"/>
                <w:sz w:val="24"/>
                <w:szCs w:val="24"/>
              </w:rPr>
              <w:t>专业类</w:t>
            </w:r>
          </w:p>
          <w:p w14:paraId="4AB0A0BD">
            <w:pPr>
              <w:pStyle w:val="107"/>
              <w:rPr>
                <w:rFonts w:cs="宋体"/>
                <w:sz w:val="24"/>
                <w:szCs w:val="24"/>
              </w:rPr>
            </w:pPr>
            <w:r>
              <w:rPr>
                <w:rFonts w:hint="eastAsia" w:cs="宋体"/>
                <w:sz w:val="24"/>
                <w:szCs w:val="24"/>
              </w:rPr>
              <w:t>（代码）</w:t>
            </w:r>
          </w:p>
        </w:tc>
        <w:tc>
          <w:tcPr>
            <w:tcW w:w="568" w:type="pct"/>
            <w:tcMar>
              <w:left w:w="57" w:type="dxa"/>
              <w:right w:w="57" w:type="dxa"/>
            </w:tcMar>
            <w:vAlign w:val="center"/>
          </w:tcPr>
          <w:p w14:paraId="751345E7">
            <w:pPr>
              <w:pStyle w:val="107"/>
              <w:rPr>
                <w:rFonts w:cs="宋体"/>
                <w:sz w:val="24"/>
                <w:szCs w:val="24"/>
              </w:rPr>
            </w:pPr>
            <w:r>
              <w:rPr>
                <w:rFonts w:hint="eastAsia" w:cs="宋体"/>
                <w:sz w:val="24"/>
                <w:szCs w:val="24"/>
              </w:rPr>
              <w:t>主要面向的行业</w:t>
            </w:r>
          </w:p>
          <w:p w14:paraId="7F6DA78D">
            <w:pPr>
              <w:pStyle w:val="107"/>
              <w:rPr>
                <w:rFonts w:cs="宋体"/>
                <w:sz w:val="24"/>
                <w:szCs w:val="24"/>
              </w:rPr>
            </w:pPr>
            <w:r>
              <w:rPr>
                <w:rFonts w:hint="eastAsia" w:cs="宋体"/>
                <w:sz w:val="24"/>
                <w:szCs w:val="24"/>
              </w:rPr>
              <w:t>（代码）</w:t>
            </w:r>
          </w:p>
        </w:tc>
        <w:tc>
          <w:tcPr>
            <w:tcW w:w="789" w:type="pct"/>
            <w:tcMar>
              <w:left w:w="57" w:type="dxa"/>
              <w:right w:w="57" w:type="dxa"/>
            </w:tcMar>
            <w:vAlign w:val="center"/>
          </w:tcPr>
          <w:p w14:paraId="2CC1B726">
            <w:pPr>
              <w:pStyle w:val="107"/>
              <w:rPr>
                <w:rFonts w:cs="宋体"/>
                <w:sz w:val="24"/>
                <w:szCs w:val="24"/>
              </w:rPr>
            </w:pPr>
            <w:r>
              <w:rPr>
                <w:rFonts w:hint="eastAsia" w:cs="宋体"/>
                <w:sz w:val="24"/>
                <w:szCs w:val="24"/>
              </w:rPr>
              <w:t>专业名称</w:t>
            </w:r>
          </w:p>
          <w:p w14:paraId="1E9BE813">
            <w:pPr>
              <w:pStyle w:val="107"/>
              <w:rPr>
                <w:rFonts w:cs="宋体"/>
                <w:sz w:val="24"/>
                <w:szCs w:val="24"/>
              </w:rPr>
            </w:pPr>
            <w:r>
              <w:rPr>
                <w:rFonts w:hint="eastAsia" w:cs="宋体"/>
                <w:sz w:val="24"/>
                <w:szCs w:val="24"/>
              </w:rPr>
              <w:t>（代码）</w:t>
            </w:r>
          </w:p>
        </w:tc>
        <w:tc>
          <w:tcPr>
            <w:tcW w:w="1029" w:type="pct"/>
            <w:tcMar>
              <w:left w:w="57" w:type="dxa"/>
              <w:right w:w="57" w:type="dxa"/>
            </w:tcMar>
            <w:vAlign w:val="center"/>
          </w:tcPr>
          <w:p w14:paraId="5E22EE60">
            <w:pPr>
              <w:pStyle w:val="107"/>
              <w:rPr>
                <w:rFonts w:cs="宋体"/>
                <w:sz w:val="24"/>
                <w:szCs w:val="24"/>
              </w:rPr>
            </w:pPr>
            <w:r>
              <w:rPr>
                <w:rFonts w:hint="eastAsia" w:cs="宋体"/>
                <w:sz w:val="24"/>
                <w:szCs w:val="24"/>
              </w:rPr>
              <w:t>主要面向的职业类别</w:t>
            </w:r>
          </w:p>
          <w:p w14:paraId="7D1FD208">
            <w:pPr>
              <w:pStyle w:val="107"/>
              <w:rPr>
                <w:rFonts w:cs="宋体"/>
                <w:sz w:val="24"/>
                <w:szCs w:val="24"/>
              </w:rPr>
            </w:pPr>
            <w:r>
              <w:rPr>
                <w:rFonts w:hint="eastAsia" w:cs="宋体"/>
                <w:sz w:val="24"/>
                <w:szCs w:val="24"/>
              </w:rPr>
              <w:t>（代码）</w:t>
            </w:r>
          </w:p>
        </w:tc>
        <w:tc>
          <w:tcPr>
            <w:tcW w:w="733" w:type="pct"/>
            <w:tcMar>
              <w:left w:w="57" w:type="dxa"/>
              <w:right w:w="57" w:type="dxa"/>
            </w:tcMar>
            <w:vAlign w:val="center"/>
          </w:tcPr>
          <w:p w14:paraId="48C97218">
            <w:pPr>
              <w:pStyle w:val="107"/>
              <w:rPr>
                <w:rFonts w:cs="宋体"/>
                <w:sz w:val="24"/>
                <w:szCs w:val="24"/>
              </w:rPr>
            </w:pPr>
            <w:r>
              <w:rPr>
                <w:rFonts w:hint="eastAsia" w:cs="宋体"/>
                <w:sz w:val="24"/>
                <w:szCs w:val="24"/>
              </w:rPr>
              <w:t>主要就业的岗位群</w:t>
            </w:r>
          </w:p>
        </w:tc>
        <w:tc>
          <w:tcPr>
            <w:tcW w:w="1078" w:type="pct"/>
            <w:tcMar>
              <w:left w:w="57" w:type="dxa"/>
              <w:right w:w="57" w:type="dxa"/>
            </w:tcMar>
            <w:vAlign w:val="center"/>
          </w:tcPr>
          <w:p w14:paraId="732ADFDA">
            <w:pPr>
              <w:pStyle w:val="107"/>
              <w:rPr>
                <w:rFonts w:cs="宋体"/>
                <w:sz w:val="24"/>
                <w:szCs w:val="24"/>
              </w:rPr>
            </w:pPr>
            <w:r>
              <w:rPr>
                <w:rFonts w:hint="eastAsia" w:cs="宋体"/>
                <w:sz w:val="24"/>
                <w:szCs w:val="24"/>
              </w:rPr>
              <w:t>职业资格或职业技能等级证书举例</w:t>
            </w:r>
          </w:p>
        </w:tc>
      </w:tr>
      <w:tr w14:paraId="509C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1" w:hRule="atLeast"/>
        </w:trPr>
        <w:tc>
          <w:tcPr>
            <w:tcW w:w="340" w:type="pct"/>
            <w:vMerge w:val="restart"/>
            <w:tcMar>
              <w:left w:w="57" w:type="dxa"/>
              <w:right w:w="57" w:type="dxa"/>
            </w:tcMar>
            <w:vAlign w:val="center"/>
          </w:tcPr>
          <w:p w14:paraId="351C7F7E">
            <w:pPr>
              <w:pStyle w:val="107"/>
              <w:rPr>
                <w:rFonts w:cs="宋体"/>
                <w:sz w:val="24"/>
                <w:szCs w:val="24"/>
              </w:rPr>
            </w:pPr>
            <w:r>
              <w:rPr>
                <w:rFonts w:hint="eastAsia" w:cs="宋体"/>
                <w:sz w:val="24"/>
                <w:szCs w:val="24"/>
              </w:rPr>
              <w:t>电子信息大类</w:t>
            </w:r>
          </w:p>
          <w:p w14:paraId="2153CB0F">
            <w:pPr>
              <w:pStyle w:val="107"/>
              <w:rPr>
                <w:rFonts w:cs="宋体"/>
                <w:sz w:val="24"/>
                <w:szCs w:val="24"/>
              </w:rPr>
            </w:pPr>
            <w:r>
              <w:rPr>
                <w:rFonts w:hint="eastAsia" w:cs="宋体"/>
                <w:sz w:val="24"/>
                <w:szCs w:val="24"/>
              </w:rPr>
              <w:t>(51)</w:t>
            </w:r>
          </w:p>
        </w:tc>
        <w:tc>
          <w:tcPr>
            <w:tcW w:w="463" w:type="pct"/>
            <w:vMerge w:val="restart"/>
            <w:tcMar>
              <w:left w:w="57" w:type="dxa"/>
              <w:right w:w="57" w:type="dxa"/>
            </w:tcMar>
            <w:vAlign w:val="center"/>
          </w:tcPr>
          <w:p w14:paraId="26A1C077">
            <w:pPr>
              <w:pStyle w:val="107"/>
              <w:rPr>
                <w:rFonts w:cs="宋体"/>
                <w:sz w:val="24"/>
                <w:szCs w:val="24"/>
              </w:rPr>
            </w:pPr>
            <w:r>
              <w:rPr>
                <w:rFonts w:hint="eastAsia" w:cs="宋体"/>
                <w:sz w:val="24"/>
                <w:szCs w:val="24"/>
              </w:rPr>
              <w:t>计算机类</w:t>
            </w:r>
          </w:p>
          <w:p w14:paraId="266149AF">
            <w:pPr>
              <w:pStyle w:val="107"/>
              <w:rPr>
                <w:rFonts w:cs="宋体"/>
                <w:sz w:val="24"/>
                <w:szCs w:val="24"/>
              </w:rPr>
            </w:pPr>
            <w:r>
              <w:rPr>
                <w:rFonts w:hint="eastAsia" w:cs="宋体"/>
                <w:sz w:val="24"/>
                <w:szCs w:val="24"/>
              </w:rPr>
              <w:t>(5102)</w:t>
            </w:r>
          </w:p>
        </w:tc>
        <w:tc>
          <w:tcPr>
            <w:tcW w:w="568" w:type="pct"/>
            <w:vMerge w:val="restart"/>
            <w:tcMar>
              <w:left w:w="57" w:type="dxa"/>
              <w:right w:w="57" w:type="dxa"/>
            </w:tcMar>
            <w:vAlign w:val="center"/>
          </w:tcPr>
          <w:p w14:paraId="7D5477BE">
            <w:pPr>
              <w:pStyle w:val="107"/>
              <w:rPr>
                <w:rFonts w:cs="宋体"/>
                <w:sz w:val="24"/>
                <w:szCs w:val="24"/>
              </w:rPr>
            </w:pPr>
            <w:r>
              <w:rPr>
                <w:rFonts w:hint="eastAsia" w:cs="宋体"/>
                <w:sz w:val="24"/>
                <w:szCs w:val="24"/>
              </w:rPr>
              <w:t>软件和信息技术服务业（</w:t>
            </w:r>
            <w:r>
              <w:rPr>
                <w:rFonts w:cs="宋体"/>
                <w:sz w:val="24"/>
                <w:szCs w:val="24"/>
              </w:rPr>
              <w:t>4</w:t>
            </w:r>
            <w:r>
              <w:rPr>
                <w:rFonts w:hint="eastAsia" w:cs="宋体"/>
                <w:sz w:val="24"/>
                <w:szCs w:val="24"/>
              </w:rPr>
              <w:t>-</w:t>
            </w:r>
            <w:r>
              <w:rPr>
                <w:rFonts w:cs="宋体"/>
                <w:sz w:val="24"/>
                <w:szCs w:val="24"/>
              </w:rPr>
              <w:t>04</w:t>
            </w:r>
            <w:r>
              <w:rPr>
                <w:rFonts w:hint="eastAsia" w:cs="宋体"/>
                <w:sz w:val="24"/>
                <w:szCs w:val="24"/>
              </w:rPr>
              <w:t>-</w:t>
            </w:r>
            <w:r>
              <w:rPr>
                <w:rFonts w:cs="宋体"/>
                <w:sz w:val="24"/>
                <w:szCs w:val="24"/>
              </w:rPr>
              <w:t>05</w:t>
            </w:r>
            <w:r>
              <w:rPr>
                <w:rFonts w:hint="eastAsia" w:cs="宋体"/>
                <w:sz w:val="24"/>
                <w:szCs w:val="24"/>
              </w:rPr>
              <w:t>）</w:t>
            </w:r>
          </w:p>
          <w:p w14:paraId="2C82A491">
            <w:pPr>
              <w:pStyle w:val="107"/>
              <w:rPr>
                <w:rFonts w:cs="宋体"/>
                <w:sz w:val="24"/>
                <w:szCs w:val="24"/>
              </w:rPr>
            </w:pPr>
          </w:p>
        </w:tc>
        <w:tc>
          <w:tcPr>
            <w:tcW w:w="789" w:type="pct"/>
            <w:vMerge w:val="restart"/>
            <w:tcMar>
              <w:left w:w="57" w:type="dxa"/>
              <w:right w:w="57" w:type="dxa"/>
            </w:tcMar>
            <w:vAlign w:val="center"/>
          </w:tcPr>
          <w:p w14:paraId="6815233E">
            <w:pPr>
              <w:pStyle w:val="107"/>
              <w:rPr>
                <w:rFonts w:cs="宋体"/>
                <w:sz w:val="24"/>
                <w:szCs w:val="24"/>
              </w:rPr>
            </w:pPr>
            <w:r>
              <w:rPr>
                <w:rFonts w:hint="eastAsia" w:cs="宋体"/>
                <w:sz w:val="24"/>
                <w:szCs w:val="24"/>
              </w:rPr>
              <w:t>大数据技术（510205）</w:t>
            </w:r>
          </w:p>
          <w:p w14:paraId="2AF021EC">
            <w:pPr>
              <w:pStyle w:val="107"/>
              <w:jc w:val="left"/>
              <w:rPr>
                <w:rFonts w:cs="宋体"/>
                <w:sz w:val="24"/>
                <w:szCs w:val="24"/>
              </w:rPr>
            </w:pPr>
          </w:p>
        </w:tc>
        <w:tc>
          <w:tcPr>
            <w:tcW w:w="1029" w:type="pct"/>
            <w:tcMar>
              <w:left w:w="57" w:type="dxa"/>
              <w:right w:w="57" w:type="dxa"/>
            </w:tcMar>
            <w:vAlign w:val="center"/>
          </w:tcPr>
          <w:p w14:paraId="36397318">
            <w:pPr>
              <w:pStyle w:val="107"/>
              <w:jc w:val="left"/>
              <w:rPr>
                <w:rFonts w:cs="宋体"/>
                <w:sz w:val="24"/>
                <w:szCs w:val="24"/>
              </w:rPr>
            </w:pPr>
            <w:r>
              <w:rPr>
                <w:rFonts w:hint="eastAsia" w:cs="宋体"/>
                <w:sz w:val="24"/>
                <w:szCs w:val="24"/>
              </w:rPr>
              <w:t>大数据工程技术人员（2-02-10-11）</w:t>
            </w:r>
          </w:p>
          <w:p w14:paraId="40956A23">
            <w:pPr>
              <w:pStyle w:val="107"/>
              <w:jc w:val="left"/>
              <w:rPr>
                <w:rFonts w:cs="宋体"/>
                <w:sz w:val="24"/>
                <w:szCs w:val="24"/>
              </w:rPr>
            </w:pPr>
          </w:p>
        </w:tc>
        <w:tc>
          <w:tcPr>
            <w:tcW w:w="733" w:type="pct"/>
            <w:tcMar>
              <w:left w:w="57" w:type="dxa"/>
              <w:right w:w="57" w:type="dxa"/>
            </w:tcMar>
            <w:vAlign w:val="center"/>
          </w:tcPr>
          <w:p w14:paraId="55012746">
            <w:pPr>
              <w:pStyle w:val="107"/>
              <w:jc w:val="left"/>
              <w:rPr>
                <w:rFonts w:cs="宋体"/>
                <w:sz w:val="24"/>
                <w:szCs w:val="24"/>
              </w:rPr>
            </w:pPr>
            <w:r>
              <w:rPr>
                <w:rFonts w:hint="eastAsia" w:cs="宋体"/>
                <w:kern w:val="0"/>
                <w:sz w:val="24"/>
                <w:szCs w:val="24"/>
              </w:rPr>
              <w:t>大数据开发工程师</w:t>
            </w:r>
            <w:r>
              <w:rPr>
                <w:rFonts w:hint="eastAsia" w:cs="宋体"/>
                <w:sz w:val="24"/>
                <w:szCs w:val="24"/>
              </w:rPr>
              <w:t>岗位</w:t>
            </w:r>
          </w:p>
          <w:p w14:paraId="284C942E">
            <w:pPr>
              <w:pStyle w:val="107"/>
              <w:jc w:val="left"/>
              <w:rPr>
                <w:rFonts w:cs="宋体"/>
                <w:kern w:val="0"/>
                <w:sz w:val="24"/>
                <w:szCs w:val="24"/>
              </w:rPr>
            </w:pPr>
          </w:p>
          <w:p w14:paraId="6E8E334A">
            <w:pPr>
              <w:pStyle w:val="107"/>
              <w:jc w:val="left"/>
              <w:rPr>
                <w:rFonts w:cs="宋体"/>
                <w:sz w:val="24"/>
                <w:szCs w:val="24"/>
              </w:rPr>
            </w:pPr>
          </w:p>
        </w:tc>
        <w:tc>
          <w:tcPr>
            <w:tcW w:w="1078" w:type="pct"/>
            <w:tcMar>
              <w:left w:w="57" w:type="dxa"/>
              <w:right w:w="57" w:type="dxa"/>
            </w:tcMar>
            <w:vAlign w:val="center"/>
          </w:tcPr>
          <w:p w14:paraId="1CDD63D5">
            <w:pPr>
              <w:pStyle w:val="107"/>
              <w:jc w:val="left"/>
              <w:rPr>
                <w:rFonts w:cs="宋体"/>
                <w:sz w:val="24"/>
                <w:szCs w:val="24"/>
              </w:rPr>
            </w:pPr>
            <w:r>
              <w:rPr>
                <w:rFonts w:hint="eastAsia" w:cs="宋体"/>
                <w:sz w:val="24"/>
                <w:szCs w:val="24"/>
              </w:rPr>
              <w:t>1+X数据应用开发与服务（Python）</w:t>
            </w:r>
          </w:p>
          <w:p w14:paraId="3D250776">
            <w:pPr>
              <w:pStyle w:val="107"/>
              <w:jc w:val="left"/>
              <w:rPr>
                <w:rFonts w:cs="宋体"/>
                <w:sz w:val="24"/>
                <w:szCs w:val="24"/>
              </w:rPr>
            </w:pPr>
            <w:r>
              <w:rPr>
                <w:rFonts w:hint="eastAsia" w:cs="宋体"/>
                <w:sz w:val="24"/>
                <w:szCs w:val="24"/>
              </w:rPr>
              <w:t>1+X大数据应用开发（Python）</w:t>
            </w:r>
          </w:p>
        </w:tc>
      </w:tr>
      <w:tr w14:paraId="29BC9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 w:hRule="atLeast"/>
        </w:trPr>
        <w:tc>
          <w:tcPr>
            <w:tcW w:w="340" w:type="pct"/>
            <w:vMerge w:val="continue"/>
            <w:tcMar>
              <w:left w:w="57" w:type="dxa"/>
              <w:right w:w="57" w:type="dxa"/>
            </w:tcMar>
            <w:vAlign w:val="center"/>
          </w:tcPr>
          <w:p w14:paraId="0CBB8ECD">
            <w:pPr>
              <w:pStyle w:val="107"/>
              <w:rPr>
                <w:rFonts w:cs="宋体"/>
                <w:sz w:val="24"/>
                <w:szCs w:val="24"/>
              </w:rPr>
            </w:pPr>
          </w:p>
        </w:tc>
        <w:tc>
          <w:tcPr>
            <w:tcW w:w="463" w:type="pct"/>
            <w:vMerge w:val="continue"/>
            <w:tcMar>
              <w:left w:w="57" w:type="dxa"/>
              <w:right w:w="57" w:type="dxa"/>
            </w:tcMar>
            <w:vAlign w:val="center"/>
          </w:tcPr>
          <w:p w14:paraId="126217E8">
            <w:pPr>
              <w:pStyle w:val="107"/>
              <w:rPr>
                <w:rFonts w:cs="宋体"/>
                <w:sz w:val="24"/>
                <w:szCs w:val="24"/>
              </w:rPr>
            </w:pPr>
          </w:p>
        </w:tc>
        <w:tc>
          <w:tcPr>
            <w:tcW w:w="568" w:type="pct"/>
            <w:vMerge w:val="continue"/>
            <w:tcMar>
              <w:left w:w="57" w:type="dxa"/>
              <w:right w:w="57" w:type="dxa"/>
            </w:tcMar>
            <w:vAlign w:val="center"/>
          </w:tcPr>
          <w:p w14:paraId="583BD30E">
            <w:pPr>
              <w:pStyle w:val="107"/>
              <w:rPr>
                <w:rFonts w:cs="宋体"/>
                <w:sz w:val="24"/>
                <w:szCs w:val="24"/>
                <w:highlight w:val="yellow"/>
              </w:rPr>
            </w:pPr>
          </w:p>
        </w:tc>
        <w:tc>
          <w:tcPr>
            <w:tcW w:w="789" w:type="pct"/>
            <w:vMerge w:val="continue"/>
            <w:tcMar>
              <w:left w:w="57" w:type="dxa"/>
              <w:right w:w="57" w:type="dxa"/>
            </w:tcMar>
            <w:vAlign w:val="center"/>
          </w:tcPr>
          <w:p w14:paraId="0A1CADA2">
            <w:pPr>
              <w:pStyle w:val="107"/>
              <w:jc w:val="left"/>
              <w:rPr>
                <w:rFonts w:cs="宋体"/>
                <w:sz w:val="24"/>
                <w:szCs w:val="24"/>
              </w:rPr>
            </w:pPr>
          </w:p>
        </w:tc>
        <w:tc>
          <w:tcPr>
            <w:tcW w:w="1029" w:type="pct"/>
            <w:tcMar>
              <w:left w:w="57" w:type="dxa"/>
              <w:right w:w="57" w:type="dxa"/>
            </w:tcMar>
            <w:vAlign w:val="center"/>
          </w:tcPr>
          <w:p w14:paraId="3E6B61DF">
            <w:pPr>
              <w:pStyle w:val="107"/>
              <w:jc w:val="left"/>
              <w:rPr>
                <w:rFonts w:cs="宋体"/>
                <w:sz w:val="24"/>
                <w:szCs w:val="24"/>
              </w:rPr>
            </w:pPr>
            <w:r>
              <w:rPr>
                <w:rFonts w:hint="eastAsia" w:cs="宋体"/>
                <w:sz w:val="24"/>
                <w:szCs w:val="24"/>
              </w:rPr>
              <w:t>计算机程序设计员（</w:t>
            </w:r>
            <w:r>
              <w:rPr>
                <w:rFonts w:cs="宋体"/>
                <w:sz w:val="24"/>
                <w:szCs w:val="24"/>
              </w:rPr>
              <w:t>4</w:t>
            </w:r>
            <w:r>
              <w:rPr>
                <w:rFonts w:hint="eastAsia" w:cs="宋体"/>
                <w:sz w:val="24"/>
                <w:szCs w:val="24"/>
              </w:rPr>
              <w:t>-0</w:t>
            </w:r>
            <w:r>
              <w:rPr>
                <w:rFonts w:cs="宋体"/>
                <w:sz w:val="24"/>
                <w:szCs w:val="24"/>
              </w:rPr>
              <w:t>4</w:t>
            </w:r>
            <w:r>
              <w:rPr>
                <w:rFonts w:hint="eastAsia" w:cs="宋体"/>
                <w:sz w:val="24"/>
                <w:szCs w:val="24"/>
              </w:rPr>
              <w:t>-</w:t>
            </w:r>
            <w:r>
              <w:rPr>
                <w:rFonts w:cs="宋体"/>
                <w:sz w:val="24"/>
                <w:szCs w:val="24"/>
              </w:rPr>
              <w:t>05</w:t>
            </w:r>
            <w:r>
              <w:rPr>
                <w:rFonts w:hint="eastAsia" w:cs="宋体"/>
                <w:sz w:val="24"/>
                <w:szCs w:val="24"/>
              </w:rPr>
              <w:t>-</w:t>
            </w:r>
            <w:r>
              <w:rPr>
                <w:rFonts w:cs="宋体"/>
                <w:sz w:val="24"/>
                <w:szCs w:val="24"/>
              </w:rPr>
              <w:t>01</w:t>
            </w:r>
            <w:r>
              <w:rPr>
                <w:rFonts w:hint="eastAsia" w:cs="宋体"/>
                <w:sz w:val="24"/>
                <w:szCs w:val="24"/>
              </w:rPr>
              <w:t>）</w:t>
            </w:r>
          </w:p>
          <w:p w14:paraId="27172A34">
            <w:pPr>
              <w:pStyle w:val="107"/>
              <w:jc w:val="left"/>
              <w:rPr>
                <w:rFonts w:cs="宋体"/>
                <w:sz w:val="24"/>
                <w:szCs w:val="24"/>
              </w:rPr>
            </w:pPr>
          </w:p>
        </w:tc>
        <w:tc>
          <w:tcPr>
            <w:tcW w:w="733" w:type="pct"/>
            <w:tcMar>
              <w:left w:w="57" w:type="dxa"/>
              <w:right w:w="57" w:type="dxa"/>
            </w:tcMar>
            <w:vAlign w:val="center"/>
          </w:tcPr>
          <w:p w14:paraId="021A0D33">
            <w:pPr>
              <w:pStyle w:val="107"/>
              <w:jc w:val="left"/>
              <w:rPr>
                <w:rFonts w:cs="宋体"/>
                <w:sz w:val="24"/>
                <w:szCs w:val="24"/>
              </w:rPr>
            </w:pPr>
          </w:p>
          <w:p w14:paraId="0874C8BC">
            <w:pPr>
              <w:pStyle w:val="107"/>
              <w:jc w:val="left"/>
              <w:rPr>
                <w:rFonts w:cs="宋体"/>
                <w:sz w:val="24"/>
                <w:szCs w:val="24"/>
              </w:rPr>
            </w:pPr>
          </w:p>
          <w:p w14:paraId="034590D8">
            <w:pPr>
              <w:pStyle w:val="107"/>
              <w:jc w:val="left"/>
              <w:rPr>
                <w:rFonts w:cs="宋体"/>
                <w:sz w:val="24"/>
                <w:szCs w:val="24"/>
              </w:rPr>
            </w:pPr>
            <w:r>
              <w:rPr>
                <w:rFonts w:hint="eastAsia" w:cs="宋体"/>
                <w:sz w:val="24"/>
                <w:szCs w:val="24"/>
              </w:rPr>
              <w:t>前端开发工程师岗位</w:t>
            </w:r>
          </w:p>
          <w:p w14:paraId="68053DCE">
            <w:pPr>
              <w:pStyle w:val="107"/>
              <w:jc w:val="left"/>
              <w:rPr>
                <w:rFonts w:cs="宋体"/>
                <w:sz w:val="24"/>
                <w:szCs w:val="24"/>
              </w:rPr>
            </w:pPr>
          </w:p>
        </w:tc>
        <w:tc>
          <w:tcPr>
            <w:tcW w:w="1078" w:type="pct"/>
            <w:tcMar>
              <w:left w:w="57" w:type="dxa"/>
              <w:right w:w="57" w:type="dxa"/>
            </w:tcMar>
            <w:vAlign w:val="center"/>
          </w:tcPr>
          <w:p w14:paraId="77DF9201">
            <w:pPr>
              <w:pStyle w:val="107"/>
              <w:jc w:val="left"/>
              <w:rPr>
                <w:rFonts w:cs="宋体"/>
                <w:sz w:val="24"/>
                <w:szCs w:val="24"/>
              </w:rPr>
            </w:pPr>
            <w:r>
              <w:rPr>
                <w:rFonts w:hint="eastAsia" w:cs="宋体"/>
                <w:sz w:val="24"/>
                <w:szCs w:val="24"/>
              </w:rPr>
              <w:t>1+X大数据应用开发（Java）</w:t>
            </w:r>
          </w:p>
          <w:p w14:paraId="0A6397A1">
            <w:pPr>
              <w:pStyle w:val="107"/>
              <w:jc w:val="left"/>
              <w:rPr>
                <w:rFonts w:cs="宋体"/>
                <w:sz w:val="24"/>
                <w:szCs w:val="24"/>
              </w:rPr>
            </w:pPr>
            <w:r>
              <w:rPr>
                <w:rFonts w:hint="eastAsia" w:cs="宋体"/>
                <w:sz w:val="24"/>
                <w:szCs w:val="24"/>
              </w:rPr>
              <w:t>1+X Web前端开发证书</w:t>
            </w:r>
          </w:p>
        </w:tc>
      </w:tr>
      <w:tr w14:paraId="0D8D7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trPr>
        <w:tc>
          <w:tcPr>
            <w:tcW w:w="340" w:type="pct"/>
            <w:vMerge w:val="continue"/>
            <w:tcMar>
              <w:left w:w="57" w:type="dxa"/>
              <w:right w:w="57" w:type="dxa"/>
            </w:tcMar>
            <w:vAlign w:val="center"/>
          </w:tcPr>
          <w:p w14:paraId="4438466E">
            <w:pPr>
              <w:pStyle w:val="107"/>
              <w:rPr>
                <w:rFonts w:cs="宋体"/>
                <w:sz w:val="24"/>
                <w:szCs w:val="24"/>
              </w:rPr>
            </w:pPr>
          </w:p>
        </w:tc>
        <w:tc>
          <w:tcPr>
            <w:tcW w:w="463" w:type="pct"/>
            <w:vMerge w:val="continue"/>
            <w:tcMar>
              <w:left w:w="57" w:type="dxa"/>
              <w:right w:w="57" w:type="dxa"/>
            </w:tcMar>
            <w:vAlign w:val="center"/>
          </w:tcPr>
          <w:p w14:paraId="3DF2D4A9">
            <w:pPr>
              <w:pStyle w:val="107"/>
              <w:rPr>
                <w:rFonts w:cs="宋体"/>
                <w:sz w:val="24"/>
                <w:szCs w:val="24"/>
              </w:rPr>
            </w:pPr>
          </w:p>
        </w:tc>
        <w:tc>
          <w:tcPr>
            <w:tcW w:w="568" w:type="pct"/>
            <w:vMerge w:val="continue"/>
            <w:tcMar>
              <w:left w:w="57" w:type="dxa"/>
              <w:right w:w="57" w:type="dxa"/>
            </w:tcMar>
            <w:vAlign w:val="center"/>
          </w:tcPr>
          <w:p w14:paraId="27D5240C">
            <w:pPr>
              <w:pStyle w:val="107"/>
              <w:rPr>
                <w:rFonts w:cs="宋体"/>
                <w:sz w:val="24"/>
                <w:szCs w:val="24"/>
                <w:highlight w:val="yellow"/>
              </w:rPr>
            </w:pPr>
          </w:p>
        </w:tc>
        <w:tc>
          <w:tcPr>
            <w:tcW w:w="789" w:type="pct"/>
            <w:vMerge w:val="continue"/>
            <w:tcMar>
              <w:left w:w="57" w:type="dxa"/>
              <w:right w:w="57" w:type="dxa"/>
            </w:tcMar>
            <w:vAlign w:val="center"/>
          </w:tcPr>
          <w:p w14:paraId="36D4B33B">
            <w:pPr>
              <w:pStyle w:val="107"/>
              <w:jc w:val="left"/>
              <w:rPr>
                <w:rFonts w:cs="宋体"/>
                <w:sz w:val="24"/>
                <w:szCs w:val="24"/>
              </w:rPr>
            </w:pPr>
          </w:p>
        </w:tc>
        <w:tc>
          <w:tcPr>
            <w:tcW w:w="1029" w:type="pct"/>
            <w:tcMar>
              <w:left w:w="57" w:type="dxa"/>
              <w:right w:w="57" w:type="dxa"/>
            </w:tcMar>
            <w:vAlign w:val="center"/>
          </w:tcPr>
          <w:p w14:paraId="18ECB43B">
            <w:pPr>
              <w:pStyle w:val="107"/>
              <w:jc w:val="left"/>
              <w:rPr>
                <w:rFonts w:cs="宋体"/>
                <w:sz w:val="24"/>
                <w:szCs w:val="24"/>
              </w:rPr>
            </w:pPr>
          </w:p>
          <w:p w14:paraId="4BCAEE16">
            <w:pPr>
              <w:pStyle w:val="107"/>
              <w:jc w:val="left"/>
              <w:rPr>
                <w:rFonts w:cs="宋体"/>
                <w:sz w:val="24"/>
                <w:szCs w:val="24"/>
              </w:rPr>
            </w:pPr>
            <w:r>
              <w:rPr>
                <w:rFonts w:hint="eastAsia" w:cs="宋体"/>
                <w:sz w:val="24"/>
                <w:szCs w:val="24"/>
              </w:rPr>
              <w:t>计算机网络工程技术人员（2-</w:t>
            </w:r>
            <w:r>
              <w:rPr>
                <w:rFonts w:cs="宋体"/>
                <w:sz w:val="24"/>
                <w:szCs w:val="24"/>
              </w:rPr>
              <w:t>02</w:t>
            </w:r>
            <w:r>
              <w:rPr>
                <w:rFonts w:hint="eastAsia" w:cs="宋体"/>
                <w:sz w:val="24"/>
                <w:szCs w:val="24"/>
              </w:rPr>
              <w:t>-</w:t>
            </w:r>
            <w:r>
              <w:rPr>
                <w:rFonts w:cs="宋体"/>
                <w:sz w:val="24"/>
                <w:szCs w:val="24"/>
              </w:rPr>
              <w:t>10</w:t>
            </w:r>
            <w:r>
              <w:rPr>
                <w:rFonts w:hint="eastAsia" w:cs="宋体"/>
                <w:sz w:val="24"/>
                <w:szCs w:val="24"/>
              </w:rPr>
              <w:t>-</w:t>
            </w:r>
            <w:r>
              <w:rPr>
                <w:rFonts w:cs="宋体"/>
                <w:sz w:val="24"/>
                <w:szCs w:val="24"/>
              </w:rPr>
              <w:t>04</w:t>
            </w:r>
            <w:r>
              <w:rPr>
                <w:rFonts w:hint="eastAsia" w:cs="宋体"/>
                <w:sz w:val="24"/>
                <w:szCs w:val="24"/>
              </w:rPr>
              <w:t>）</w:t>
            </w:r>
          </w:p>
        </w:tc>
        <w:tc>
          <w:tcPr>
            <w:tcW w:w="733" w:type="pct"/>
            <w:tcMar>
              <w:left w:w="57" w:type="dxa"/>
              <w:right w:w="57" w:type="dxa"/>
            </w:tcMar>
            <w:vAlign w:val="center"/>
          </w:tcPr>
          <w:p w14:paraId="431C93BD">
            <w:pPr>
              <w:pStyle w:val="107"/>
              <w:jc w:val="left"/>
              <w:rPr>
                <w:rFonts w:cs="宋体"/>
                <w:sz w:val="24"/>
                <w:szCs w:val="24"/>
              </w:rPr>
            </w:pPr>
            <w:r>
              <w:rPr>
                <w:rFonts w:hint="eastAsia" w:cs="宋体"/>
                <w:sz w:val="24"/>
                <w:szCs w:val="24"/>
              </w:rPr>
              <w:t>云计算实施与运维岗位</w:t>
            </w:r>
          </w:p>
        </w:tc>
        <w:tc>
          <w:tcPr>
            <w:tcW w:w="1078" w:type="pct"/>
            <w:tcMar>
              <w:left w:w="57" w:type="dxa"/>
              <w:right w:w="57" w:type="dxa"/>
            </w:tcMar>
            <w:vAlign w:val="center"/>
          </w:tcPr>
          <w:p w14:paraId="3A5C9A05">
            <w:pPr>
              <w:pStyle w:val="107"/>
              <w:jc w:val="left"/>
              <w:rPr>
                <w:rFonts w:cs="宋体"/>
                <w:sz w:val="24"/>
                <w:szCs w:val="24"/>
              </w:rPr>
            </w:pPr>
            <w:r>
              <w:rPr>
                <w:rFonts w:hint="eastAsia" w:cs="宋体"/>
                <w:sz w:val="24"/>
                <w:szCs w:val="24"/>
              </w:rPr>
              <w:t>1+X云计算平台运维与开发</w:t>
            </w:r>
          </w:p>
        </w:tc>
      </w:tr>
    </w:tbl>
    <w:p w14:paraId="26FF770F">
      <w:pPr>
        <w:ind w:firstLine="555"/>
        <w:rPr>
          <w:rFonts w:hint="eastAsia" w:ascii="宋体" w:hAnsi="宋体"/>
          <w:b/>
          <w:sz w:val="24"/>
        </w:rPr>
      </w:pPr>
    </w:p>
    <w:p w14:paraId="3187351F">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（四）专业核心课程</w:t>
      </w:r>
    </w:p>
    <w:tbl>
      <w:tblPr>
        <w:tblStyle w:val="12"/>
        <w:tblW w:w="5000" w:type="pct"/>
        <w:tblInd w:w="0" w:type="dxa"/>
        <w:shd w:val="clear" w:color="auto" w:fill="FFFFFF" w:themeFill="background1"/>
        <w:tblLayout w:type="autofit"/>
        <w:tblCellMar>
          <w:top w:w="0" w:type="dxa"/>
          <w:left w:w="0" w:type="dxa"/>
          <w:bottom w:w="0" w:type="dxa"/>
          <w:right w:w="0" w:type="dxa"/>
        </w:tblCellMar>
      </w:tblPr>
      <w:tblGrid>
        <w:gridCol w:w="2376"/>
        <w:gridCol w:w="5960"/>
      </w:tblGrid>
      <w:tr w14:paraId="414ECAA4">
        <w:tblPrEx>
          <w:tblCellMar>
            <w:top w:w="0" w:type="dxa"/>
            <w:left w:w="0" w:type="dxa"/>
            <w:bottom w:w="0" w:type="dxa"/>
            <w:right w:w="0" w:type="dxa"/>
          </w:tblCellMar>
        </w:tblPrEx>
        <w:trPr>
          <w:trHeight w:val="285" w:hRule="atLeast"/>
        </w:trPr>
        <w:tc>
          <w:tcPr>
            <w:tcW w:w="1425" w:type="pct"/>
            <w:vMerge w:val="restart"/>
            <w:tcBorders>
              <w:top w:val="single" w:color="000000" w:sz="4" w:space="0"/>
              <w:left w:val="single" w:color="000000" w:sz="4" w:space="0"/>
              <w:right w:val="single" w:color="000000" w:sz="4" w:space="0"/>
            </w:tcBorders>
            <w:shd w:val="clear" w:color="auto" w:fill="FFFFFF" w:themeFill="background1"/>
            <w:tcMar>
              <w:top w:w="15" w:type="dxa"/>
              <w:left w:w="15" w:type="dxa"/>
              <w:right w:w="15" w:type="dxa"/>
            </w:tcMar>
            <w:vAlign w:val="center"/>
          </w:tcPr>
          <w:p w14:paraId="52663CF4">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大数据技术</w:t>
            </w: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373D2F5D">
            <w:pPr>
              <w:adjustRightInd w:val="0"/>
              <w:snapToGrid w:val="0"/>
              <w:spacing w:line="0" w:lineRule="atLeast"/>
              <w:jc w:val="center"/>
              <w:rPr>
                <w:rFonts w:hint="eastAsia" w:asciiTheme="minorEastAsia" w:hAnsiTheme="minorEastAsia" w:eastAsiaTheme="minorEastAsia"/>
                <w:szCs w:val="21"/>
              </w:rPr>
            </w:pPr>
            <w:r>
              <w:rPr>
                <w:rFonts w:ascii="Times New Roman" w:hAnsi="Times New Roman" w:eastAsiaTheme="minorEastAsia"/>
                <w:szCs w:val="21"/>
              </w:rPr>
              <w:t>Python Web</w:t>
            </w:r>
            <w:r>
              <w:rPr>
                <w:rFonts w:hint="eastAsia" w:asciiTheme="minorEastAsia" w:hAnsiTheme="minorEastAsia" w:eastAsiaTheme="minorEastAsia"/>
                <w:szCs w:val="21"/>
              </w:rPr>
              <w:t>应用开发</w:t>
            </w:r>
          </w:p>
        </w:tc>
      </w:tr>
      <w:tr w14:paraId="7F34B4F1">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680CC4BF">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4CE4C3B4">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大数据平台部署与运维</w:t>
            </w:r>
          </w:p>
        </w:tc>
      </w:tr>
      <w:tr w14:paraId="79695A0F">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06C0D6D7">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2EFEA0BE">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数据采集与预处理</w:t>
            </w:r>
          </w:p>
        </w:tc>
      </w:tr>
      <w:tr w14:paraId="5B774EAC">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59B0E4C3">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7244FBA8">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数据可视化技术与应用</w:t>
            </w:r>
          </w:p>
        </w:tc>
      </w:tr>
      <w:tr w14:paraId="0DFFD86D">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5A0BD61B">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1321AD3E">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大数据分析与开发</w:t>
            </w:r>
          </w:p>
        </w:tc>
      </w:tr>
      <w:tr w14:paraId="3C9D07DA">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0B11F308">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4AA52584">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数据仓库技术</w:t>
            </w:r>
          </w:p>
        </w:tc>
      </w:tr>
      <w:tr w14:paraId="5E47C2A3">
        <w:tblPrEx>
          <w:tblCellMar>
            <w:top w:w="0" w:type="dxa"/>
            <w:left w:w="0" w:type="dxa"/>
            <w:bottom w:w="0" w:type="dxa"/>
            <w:right w:w="0" w:type="dxa"/>
          </w:tblCellMar>
        </w:tblPrEx>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307B5D2D">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07B24D2F">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算法与数据结构</w:t>
            </w:r>
          </w:p>
        </w:tc>
      </w:tr>
      <w:tr w14:paraId="13BC9343">
        <w:trPr>
          <w:trHeight w:val="285" w:hRule="atLeast"/>
        </w:trPr>
        <w:tc>
          <w:tcPr>
            <w:tcW w:w="1425" w:type="pct"/>
            <w:vMerge w:val="continue"/>
            <w:tcBorders>
              <w:left w:val="single" w:color="000000" w:sz="4" w:space="0"/>
              <w:right w:val="single" w:color="000000" w:sz="4" w:space="0"/>
            </w:tcBorders>
            <w:shd w:val="clear" w:color="auto" w:fill="FFFFFF" w:themeFill="background1"/>
            <w:tcMar>
              <w:top w:w="15" w:type="dxa"/>
              <w:left w:w="15" w:type="dxa"/>
              <w:right w:w="15" w:type="dxa"/>
            </w:tcMar>
            <w:vAlign w:val="center"/>
          </w:tcPr>
          <w:p w14:paraId="472B74FF">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69343AB1">
            <w:pPr>
              <w:adjustRightInd w:val="0"/>
              <w:snapToGrid w:val="0"/>
              <w:spacing w:line="0" w:lineRule="atLeast"/>
              <w:jc w:val="center"/>
              <w:rPr>
                <w:rFonts w:hint="eastAsia" w:asciiTheme="minorEastAsia" w:hAnsiTheme="minorEastAsia" w:eastAsiaTheme="minorEastAsia"/>
                <w:szCs w:val="21"/>
              </w:rPr>
            </w:pPr>
            <w:r>
              <w:rPr>
                <w:rFonts w:hint="eastAsia" w:asciiTheme="minorEastAsia" w:hAnsiTheme="minorEastAsia" w:eastAsiaTheme="minorEastAsia"/>
                <w:szCs w:val="21"/>
              </w:rPr>
              <w:t>智能数据处理技术</w:t>
            </w:r>
          </w:p>
        </w:tc>
      </w:tr>
      <w:tr w14:paraId="7322DEA6">
        <w:tblPrEx>
          <w:tblCellMar>
            <w:top w:w="0" w:type="dxa"/>
            <w:left w:w="0" w:type="dxa"/>
            <w:bottom w:w="0" w:type="dxa"/>
            <w:right w:w="0" w:type="dxa"/>
          </w:tblCellMar>
        </w:tblPrEx>
        <w:trPr>
          <w:trHeight w:val="285" w:hRule="atLeast"/>
        </w:trPr>
        <w:tc>
          <w:tcPr>
            <w:tcW w:w="1425" w:type="pct"/>
            <w:vMerge w:val="continue"/>
            <w:tcBorders>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06100E46">
            <w:pPr>
              <w:adjustRightInd w:val="0"/>
              <w:snapToGrid w:val="0"/>
              <w:spacing w:line="0" w:lineRule="atLeast"/>
              <w:jc w:val="center"/>
              <w:rPr>
                <w:rFonts w:hint="eastAsia" w:asciiTheme="minorEastAsia" w:hAnsiTheme="minorEastAsia" w:eastAsiaTheme="minorEastAsia"/>
                <w:szCs w:val="21"/>
              </w:rPr>
            </w:pPr>
          </w:p>
        </w:tc>
        <w:tc>
          <w:tcPr>
            <w:tcW w:w="3575" w:type="pct"/>
            <w:tcBorders>
              <w:top w:val="single" w:color="000000" w:sz="4" w:space="0"/>
              <w:left w:val="single" w:color="000000" w:sz="4" w:space="0"/>
              <w:bottom w:val="single" w:color="000000" w:sz="4" w:space="0"/>
              <w:right w:val="single" w:color="000000" w:sz="4" w:space="0"/>
            </w:tcBorders>
            <w:shd w:val="clear" w:color="auto" w:fill="FFFFFF" w:themeFill="background1"/>
            <w:tcMar>
              <w:top w:w="15" w:type="dxa"/>
              <w:left w:w="15" w:type="dxa"/>
              <w:right w:w="15" w:type="dxa"/>
            </w:tcMar>
            <w:vAlign w:val="center"/>
          </w:tcPr>
          <w:p w14:paraId="310049FB">
            <w:pPr>
              <w:adjustRightInd w:val="0"/>
              <w:snapToGrid w:val="0"/>
              <w:spacing w:line="0" w:lineRule="atLeast"/>
              <w:jc w:val="center"/>
              <w:rPr>
                <w:rFonts w:hint="eastAsia" w:asciiTheme="minorEastAsia" w:hAnsiTheme="minorEastAsia" w:eastAsiaTheme="minorEastAsia"/>
                <w:szCs w:val="21"/>
              </w:rPr>
            </w:pPr>
            <w:r>
              <w:rPr>
                <w:rFonts w:ascii="Times New Roman" w:hAnsi="Times New Roman" w:eastAsiaTheme="minorEastAsia"/>
                <w:szCs w:val="21"/>
              </w:rPr>
              <w:t>Linux</w:t>
            </w:r>
            <w:r>
              <w:rPr>
                <w:rFonts w:hint="eastAsia" w:asciiTheme="minorEastAsia" w:hAnsiTheme="minorEastAsia" w:eastAsiaTheme="minorEastAsia"/>
                <w:szCs w:val="21"/>
              </w:rPr>
              <w:t>服务部署实训</w:t>
            </w:r>
          </w:p>
        </w:tc>
      </w:tr>
    </w:tbl>
    <w:p w14:paraId="5820652A">
      <w:pPr>
        <w:pStyle w:val="2"/>
        <w:spacing w:before="312" w:after="312"/>
        <w:ind w:firstLine="0" w:firstLineChars="0"/>
        <w:rPr>
          <w:rFonts w:hint="eastAsia" w:ascii="微软雅黑" w:hAnsi="微软雅黑" w:eastAsia="微软雅黑"/>
          <w:b/>
          <w:color w:val="auto"/>
          <w:sz w:val="28"/>
          <w:szCs w:val="28"/>
        </w:rPr>
      </w:pPr>
      <w:r>
        <w:rPr>
          <w:rFonts w:hint="eastAsia" w:ascii="微软雅黑" w:hAnsi="微软雅黑" w:eastAsia="微软雅黑"/>
          <w:b/>
          <w:color w:val="auto"/>
          <w:sz w:val="28"/>
          <w:szCs w:val="28"/>
        </w:rPr>
        <w:t>（五）毕业资格条件</w:t>
      </w:r>
    </w:p>
    <w:p w14:paraId="6DD5F471">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（一）学分要求</w:t>
      </w:r>
    </w:p>
    <w:p w14:paraId="440F7A61">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为保证学生素质的全面提升，学生共须修满164.5学分，其中通识必修课应修满41学分，通识限选课修满4学分，通识任选课修满4学分；专业教育必修课应修满63.5学分，专业限选课修满7学分；素质拓展与社会实践类课程修满6学分。各类课程学分可根据《江苏海院学分积累、转换和认定办法》予以认定。</w:t>
      </w:r>
    </w:p>
    <w:p w14:paraId="20D6A14C">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（二）外语水平要求</w:t>
      </w:r>
    </w:p>
    <w:p w14:paraId="64F6B414">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专业不对外语等级或证书做毕业资格要求。对获取江苏省高校英语应用能力等级证书的学生，可以用证书置换第一或二学期高职英语课程的成绩，成绩认定为80分（B级，也可按实际B级实际考取成绩）、85分（A级或口语，也可按实际A级实际考取成绩）、90分（四级380分及以上）或95分（六级）。</w:t>
      </w:r>
    </w:p>
    <w:p w14:paraId="67674A71">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（三）计算机证书要求</w:t>
      </w:r>
    </w:p>
    <w:p w14:paraId="009FAF77">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本专业群对计算机证书不作要求。信息技术类课程实现课证融通，即学生考取ATA证书或全国计算机等级证书或江苏省计算机等级考试一级证书可申请信息技术类课程免修，直接置换对应学分。</w:t>
      </w:r>
    </w:p>
    <w:p w14:paraId="6F3F4938">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（四）职业资格和职业技能证书要求</w:t>
      </w:r>
    </w:p>
    <w:tbl>
      <w:tblPr>
        <w:tblStyle w:val="13"/>
        <w:tblpPr w:leftFromText="180" w:rightFromText="180" w:vertAnchor="text" w:horzAnchor="page" w:tblpX="2236" w:tblpY="9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0"/>
        <w:gridCol w:w="1133"/>
        <w:gridCol w:w="1365"/>
        <w:gridCol w:w="1752"/>
        <w:gridCol w:w="1277"/>
        <w:gridCol w:w="1325"/>
      </w:tblGrid>
      <w:tr w14:paraId="55427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80" w:type="pct"/>
            <w:vAlign w:val="center"/>
          </w:tcPr>
          <w:p w14:paraId="69E8D9EC">
            <w:pPr>
              <w:adjustRightInd w:val="0"/>
              <w:snapToGrid w:val="0"/>
              <w:spacing w:line="0" w:lineRule="atLeast"/>
              <w:rPr>
                <w:rFonts w:hint="eastAsia" w:asciiTheme="minorEastAsia" w:hAnsiTheme="minorEastAsia" w:eastAsiaTheme="minorEastAsia"/>
                <w:b/>
                <w:bCs/>
                <w:szCs w:val="21"/>
              </w:rPr>
            </w:pPr>
            <w:r>
              <w:rPr>
                <w:rFonts w:hint="eastAsia" w:asciiTheme="minorEastAsia" w:hAnsiTheme="minorEastAsia" w:eastAsiaTheme="minorEastAsia"/>
                <w:b/>
                <w:bCs/>
                <w:szCs w:val="21"/>
              </w:rPr>
              <w:t>证书名称</w:t>
            </w:r>
          </w:p>
        </w:tc>
        <w:tc>
          <w:tcPr>
            <w:tcW w:w="665" w:type="pct"/>
            <w:vAlign w:val="center"/>
          </w:tcPr>
          <w:p w14:paraId="24FD1C9C">
            <w:pPr>
              <w:adjustRightInd w:val="0"/>
              <w:snapToGrid w:val="0"/>
              <w:spacing w:line="0" w:lineRule="atLeast"/>
              <w:rPr>
                <w:rFonts w:hint="eastAsia" w:asciiTheme="minorEastAsia" w:hAnsiTheme="minorEastAsia" w:eastAsiaTheme="minorEastAsia"/>
                <w:b/>
                <w:bCs/>
                <w:szCs w:val="21"/>
              </w:rPr>
            </w:pPr>
            <w:r>
              <w:rPr>
                <w:rFonts w:hint="eastAsia" w:asciiTheme="minorEastAsia" w:hAnsiTheme="minorEastAsia" w:eastAsiaTheme="minorEastAsia"/>
                <w:b/>
                <w:bCs/>
                <w:szCs w:val="21"/>
              </w:rPr>
              <w:t>颁证机构</w:t>
            </w:r>
          </w:p>
        </w:tc>
        <w:tc>
          <w:tcPr>
            <w:tcW w:w="801" w:type="pct"/>
            <w:vAlign w:val="center"/>
          </w:tcPr>
          <w:p w14:paraId="1D3F5967">
            <w:pPr>
              <w:adjustRightInd w:val="0"/>
              <w:snapToGrid w:val="0"/>
              <w:spacing w:line="0" w:lineRule="atLeast"/>
              <w:rPr>
                <w:rFonts w:hint="eastAsia" w:asciiTheme="minorEastAsia" w:hAnsiTheme="minorEastAsia" w:eastAsiaTheme="minorEastAsia"/>
                <w:b/>
                <w:bCs/>
                <w:szCs w:val="21"/>
              </w:rPr>
            </w:pPr>
            <w:r>
              <w:rPr>
                <w:rFonts w:hint="eastAsia" w:asciiTheme="minorEastAsia" w:hAnsiTheme="minorEastAsia" w:eastAsiaTheme="minorEastAsia"/>
                <w:b/>
                <w:bCs/>
                <w:szCs w:val="21"/>
              </w:rPr>
              <w:t>适用专业</w:t>
            </w:r>
          </w:p>
        </w:tc>
        <w:tc>
          <w:tcPr>
            <w:tcW w:w="1028" w:type="pct"/>
            <w:vAlign w:val="center"/>
          </w:tcPr>
          <w:p w14:paraId="225577E5">
            <w:pPr>
              <w:adjustRightInd w:val="0"/>
              <w:snapToGrid w:val="0"/>
              <w:spacing w:line="0" w:lineRule="atLeast"/>
              <w:rPr>
                <w:rFonts w:hint="eastAsia" w:asciiTheme="minorEastAsia" w:hAnsiTheme="minorEastAsia" w:eastAsiaTheme="minorEastAsia"/>
                <w:b/>
                <w:bCs/>
                <w:szCs w:val="21"/>
              </w:rPr>
            </w:pPr>
            <w:r>
              <w:rPr>
                <w:rFonts w:hint="eastAsia" w:asciiTheme="minorEastAsia" w:hAnsiTheme="minorEastAsia" w:eastAsiaTheme="minorEastAsia"/>
                <w:b/>
                <w:bCs/>
                <w:szCs w:val="21"/>
              </w:rPr>
              <w:t>主要支撑课程</w:t>
            </w:r>
          </w:p>
        </w:tc>
        <w:tc>
          <w:tcPr>
            <w:tcW w:w="749" w:type="pct"/>
            <w:vAlign w:val="center"/>
          </w:tcPr>
          <w:p w14:paraId="43E55DDD">
            <w:pPr>
              <w:adjustRightInd w:val="0"/>
              <w:snapToGrid w:val="0"/>
              <w:spacing w:line="0" w:lineRule="atLeast"/>
              <w:rPr>
                <w:rFonts w:hint="eastAsia" w:asciiTheme="minorEastAsia" w:hAnsiTheme="minorEastAsia" w:eastAsiaTheme="minorEastAsia"/>
                <w:b/>
                <w:bCs/>
                <w:szCs w:val="21"/>
              </w:rPr>
            </w:pPr>
            <w:r>
              <w:rPr>
                <w:rFonts w:hint="eastAsia" w:asciiTheme="minorEastAsia" w:hAnsiTheme="minorEastAsia" w:eastAsiaTheme="minorEastAsia"/>
                <w:b/>
                <w:bCs/>
                <w:szCs w:val="21"/>
              </w:rPr>
              <w:t>建议获取时间</w:t>
            </w:r>
          </w:p>
        </w:tc>
        <w:tc>
          <w:tcPr>
            <w:tcW w:w="777" w:type="pct"/>
            <w:vAlign w:val="center"/>
          </w:tcPr>
          <w:p w14:paraId="514EC0AD">
            <w:pPr>
              <w:adjustRightInd w:val="0"/>
              <w:snapToGrid w:val="0"/>
              <w:spacing w:line="0" w:lineRule="atLeast"/>
              <w:rPr>
                <w:rFonts w:hint="eastAsia" w:asciiTheme="minorEastAsia" w:hAnsiTheme="minorEastAsia" w:eastAsiaTheme="minorEastAsia"/>
                <w:b/>
                <w:bCs/>
                <w:szCs w:val="21"/>
              </w:rPr>
            </w:pPr>
            <w:r>
              <w:rPr>
                <w:rFonts w:hint="eastAsia" w:asciiTheme="minorEastAsia" w:hAnsiTheme="minorEastAsia" w:eastAsiaTheme="minorEastAsia"/>
                <w:b/>
                <w:bCs/>
                <w:szCs w:val="21"/>
              </w:rPr>
              <w:t>考证要求</w:t>
            </w:r>
          </w:p>
        </w:tc>
      </w:tr>
      <w:tr w14:paraId="02B98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80" w:type="pct"/>
            <w:vAlign w:val="center"/>
          </w:tcPr>
          <w:p w14:paraId="727853A7">
            <w:pPr>
              <w:adjustRightInd w:val="0"/>
              <w:snapToGrid w:val="0"/>
              <w:spacing w:line="0" w:lineRule="atLeast"/>
              <w:rPr>
                <w:rFonts w:hint="eastAsia" w:asciiTheme="minorEastAsia" w:hAnsiTheme="minorEastAsia" w:eastAsiaTheme="minorEastAsia"/>
                <w:szCs w:val="21"/>
              </w:rPr>
            </w:pPr>
            <w:r>
              <w:rPr>
                <w:rFonts w:hint="eastAsia" w:cs="宋体"/>
              </w:rPr>
              <w:t>HCIA—Big Data、HCIP-Big Data</w:t>
            </w:r>
          </w:p>
        </w:tc>
        <w:tc>
          <w:tcPr>
            <w:tcW w:w="665" w:type="pct"/>
            <w:vAlign w:val="center"/>
          </w:tcPr>
          <w:p w14:paraId="0D2E2003">
            <w:pPr>
              <w:adjustRightInd w:val="0"/>
              <w:snapToGrid w:val="0"/>
              <w:spacing w:line="0" w:lineRule="atLeast"/>
              <w:rPr>
                <w:rFonts w:hint="eastAsia" w:asciiTheme="minorEastAsia" w:hAnsiTheme="minorEastAsia" w:eastAsiaTheme="minorEastAsia"/>
                <w:szCs w:val="21"/>
              </w:rPr>
            </w:pPr>
            <w:r>
              <w:rPr>
                <w:rFonts w:hint="eastAsia" w:cs="宋体"/>
              </w:rPr>
              <w:t>华为</w:t>
            </w:r>
          </w:p>
        </w:tc>
        <w:tc>
          <w:tcPr>
            <w:tcW w:w="801" w:type="pct"/>
            <w:vAlign w:val="center"/>
          </w:tcPr>
          <w:p w14:paraId="3D8ECDC2">
            <w:pPr>
              <w:adjustRightInd w:val="0"/>
              <w:snapToGrid w:val="0"/>
              <w:spacing w:line="0" w:lineRule="atLeast"/>
              <w:rPr>
                <w:rFonts w:hint="eastAsia" w:asciiTheme="minorEastAsia" w:hAnsiTheme="minorEastAsia" w:eastAsiaTheme="minorEastAsia"/>
                <w:szCs w:val="21"/>
              </w:rPr>
            </w:pPr>
            <w:r>
              <w:rPr>
                <w:rFonts w:hint="eastAsia" w:cs="宋体"/>
              </w:rPr>
              <w:t>大数据技术</w:t>
            </w:r>
          </w:p>
        </w:tc>
        <w:tc>
          <w:tcPr>
            <w:tcW w:w="1028" w:type="pct"/>
            <w:vAlign w:val="center"/>
          </w:tcPr>
          <w:p w14:paraId="2A786DEF">
            <w:pPr>
              <w:adjustRightInd w:val="0"/>
              <w:snapToGrid w:val="0"/>
              <w:spacing w:line="0" w:lineRule="atLeast"/>
              <w:rPr>
                <w:rFonts w:hint="eastAsia" w:asciiTheme="minorEastAsia" w:hAnsiTheme="minorEastAsia" w:eastAsiaTheme="minorEastAsia"/>
                <w:szCs w:val="21"/>
              </w:rPr>
            </w:pPr>
            <w:r>
              <w:rPr>
                <w:rFonts w:hint="eastAsia" w:cs="宋体"/>
              </w:rPr>
              <w:t>大数据平台部署与运维、大数据分析与开发、数据仓库、智能数据处理技术</w:t>
            </w:r>
          </w:p>
        </w:tc>
        <w:tc>
          <w:tcPr>
            <w:tcW w:w="749" w:type="pct"/>
            <w:vAlign w:val="center"/>
          </w:tcPr>
          <w:p w14:paraId="691E3739">
            <w:pPr>
              <w:adjustRightInd w:val="0"/>
              <w:snapToGrid w:val="0"/>
              <w:spacing w:line="0" w:lineRule="atLeast"/>
              <w:rPr>
                <w:rFonts w:hint="eastAsia" w:asciiTheme="minorEastAsia" w:hAnsiTheme="minorEastAsia" w:eastAsiaTheme="minorEastAsia"/>
                <w:szCs w:val="21"/>
              </w:rPr>
            </w:pPr>
            <w:r>
              <w:rPr>
                <w:rFonts w:hint="eastAsia" w:cs="宋体"/>
              </w:rPr>
              <w:t>第三、四、五学期</w:t>
            </w:r>
          </w:p>
        </w:tc>
        <w:tc>
          <w:tcPr>
            <w:tcW w:w="777" w:type="pct"/>
            <w:vMerge w:val="restart"/>
            <w:vAlign w:val="center"/>
          </w:tcPr>
          <w:p w14:paraId="473977E6">
            <w:pPr>
              <w:adjustRightInd w:val="0"/>
              <w:snapToGrid w:val="0"/>
              <w:spacing w:line="0" w:lineRule="atLeast"/>
              <w:rPr>
                <w:rFonts w:hint="eastAsia" w:asciiTheme="minorEastAsia" w:hAnsiTheme="minorEastAsia" w:eastAsiaTheme="minorEastAsia"/>
                <w:szCs w:val="21"/>
              </w:rPr>
            </w:pPr>
            <w:r>
              <w:rPr>
                <w:rFonts w:hint="eastAsia" w:asciiTheme="minorEastAsia" w:hAnsiTheme="minorEastAsia" w:eastAsiaTheme="minorEastAsia"/>
                <w:szCs w:val="21"/>
              </w:rPr>
              <w:t>在校期间学生考取的证书可以置换相关课程。</w:t>
            </w:r>
          </w:p>
        </w:tc>
      </w:tr>
      <w:tr w14:paraId="55ED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80" w:type="pct"/>
            <w:vAlign w:val="center"/>
          </w:tcPr>
          <w:p w14:paraId="4E8DEED2">
            <w:pPr>
              <w:adjustRightInd w:val="0"/>
              <w:snapToGrid w:val="0"/>
              <w:spacing w:line="0" w:lineRule="atLeast"/>
              <w:rPr>
                <w:rFonts w:hint="eastAsia" w:asciiTheme="minorEastAsia" w:hAnsiTheme="minorEastAsia" w:eastAsiaTheme="minorEastAsia"/>
                <w:szCs w:val="21"/>
              </w:rPr>
            </w:pPr>
            <w:r>
              <w:rPr>
                <w:rFonts w:hint="eastAsia" w:cs="宋体"/>
              </w:rPr>
              <w:t>软考数据库系统工程师、软件开发工程师</w:t>
            </w:r>
          </w:p>
        </w:tc>
        <w:tc>
          <w:tcPr>
            <w:tcW w:w="665" w:type="pct"/>
            <w:vAlign w:val="center"/>
          </w:tcPr>
          <w:p w14:paraId="360FCDAC">
            <w:pPr>
              <w:adjustRightInd w:val="0"/>
              <w:snapToGrid w:val="0"/>
              <w:spacing w:line="0" w:lineRule="atLeast"/>
              <w:rPr>
                <w:rFonts w:hint="eastAsia" w:asciiTheme="minorEastAsia" w:hAnsiTheme="minorEastAsia" w:eastAsiaTheme="minorEastAsia"/>
                <w:szCs w:val="21"/>
              </w:rPr>
            </w:pPr>
            <w:r>
              <w:rPr>
                <w:rFonts w:hint="eastAsia" w:cs="宋体"/>
              </w:rPr>
              <w:t>工业和信息化部教育与考试中心</w:t>
            </w:r>
          </w:p>
        </w:tc>
        <w:tc>
          <w:tcPr>
            <w:tcW w:w="801" w:type="pct"/>
            <w:vAlign w:val="center"/>
          </w:tcPr>
          <w:p w14:paraId="17522218">
            <w:pPr>
              <w:adjustRightInd w:val="0"/>
              <w:snapToGrid w:val="0"/>
              <w:spacing w:line="0" w:lineRule="atLeast"/>
              <w:rPr>
                <w:rFonts w:hint="eastAsia" w:asciiTheme="minorEastAsia" w:hAnsiTheme="minorEastAsia" w:eastAsiaTheme="minorEastAsia"/>
                <w:szCs w:val="21"/>
              </w:rPr>
            </w:pPr>
            <w:r>
              <w:rPr>
                <w:rFonts w:hint="eastAsia" w:cs="宋体"/>
              </w:rPr>
              <w:t>大数据技术</w:t>
            </w:r>
          </w:p>
        </w:tc>
        <w:tc>
          <w:tcPr>
            <w:tcW w:w="1028" w:type="pct"/>
            <w:vAlign w:val="center"/>
          </w:tcPr>
          <w:p w14:paraId="44F2A7B1">
            <w:pPr>
              <w:adjustRightInd w:val="0"/>
              <w:snapToGrid w:val="0"/>
              <w:spacing w:line="0" w:lineRule="atLeast"/>
              <w:rPr>
                <w:rFonts w:hint="eastAsia" w:asciiTheme="minorEastAsia" w:hAnsiTheme="minorEastAsia" w:eastAsiaTheme="minorEastAsia"/>
                <w:szCs w:val="21"/>
              </w:rPr>
            </w:pPr>
            <w:r>
              <w:rPr>
                <w:rFonts w:hint="eastAsia" w:cs="宋体"/>
              </w:rPr>
              <w:t>Python程序设计、数据库应用开发技术、数据可视化技术与应用</w:t>
            </w:r>
          </w:p>
        </w:tc>
        <w:tc>
          <w:tcPr>
            <w:tcW w:w="749" w:type="pct"/>
            <w:vAlign w:val="center"/>
          </w:tcPr>
          <w:p w14:paraId="2C181B40">
            <w:pPr>
              <w:adjustRightInd w:val="0"/>
              <w:snapToGrid w:val="0"/>
              <w:spacing w:line="0" w:lineRule="atLeast"/>
              <w:rPr>
                <w:rFonts w:hint="eastAsia" w:asciiTheme="minorEastAsia" w:hAnsiTheme="minorEastAsia" w:eastAsiaTheme="minorEastAsia"/>
                <w:szCs w:val="21"/>
              </w:rPr>
            </w:pPr>
            <w:r>
              <w:rPr>
                <w:rFonts w:hint="eastAsia" w:cs="宋体"/>
              </w:rPr>
              <w:t>第三、四、五学期</w:t>
            </w:r>
          </w:p>
        </w:tc>
        <w:tc>
          <w:tcPr>
            <w:tcW w:w="777" w:type="pct"/>
            <w:vMerge w:val="continue"/>
            <w:vAlign w:val="center"/>
          </w:tcPr>
          <w:p w14:paraId="33DA39F2">
            <w:pPr>
              <w:adjustRightInd w:val="0"/>
              <w:snapToGrid w:val="0"/>
              <w:spacing w:line="0" w:lineRule="atLeast"/>
              <w:rPr>
                <w:rFonts w:hint="eastAsia" w:asciiTheme="minorEastAsia" w:hAnsiTheme="minorEastAsia" w:eastAsiaTheme="minorEastAsia"/>
                <w:szCs w:val="21"/>
              </w:rPr>
            </w:pPr>
          </w:p>
        </w:tc>
      </w:tr>
      <w:tr w14:paraId="05BE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80" w:type="pct"/>
            <w:vAlign w:val="center"/>
          </w:tcPr>
          <w:p w14:paraId="55995C6E">
            <w:pPr>
              <w:adjustRightInd w:val="0"/>
              <w:snapToGrid w:val="0"/>
              <w:spacing w:line="0" w:lineRule="atLeast"/>
              <w:rPr>
                <w:rFonts w:hint="eastAsia" w:asciiTheme="minorEastAsia" w:hAnsiTheme="minorEastAsia" w:eastAsiaTheme="minorEastAsia"/>
                <w:szCs w:val="21"/>
              </w:rPr>
            </w:pPr>
            <w:r>
              <w:rPr>
                <w:rFonts w:hint="eastAsia" w:cs="宋体"/>
              </w:rPr>
              <w:t>大数据分析师</w:t>
            </w:r>
          </w:p>
        </w:tc>
        <w:tc>
          <w:tcPr>
            <w:tcW w:w="665" w:type="pct"/>
            <w:vAlign w:val="center"/>
          </w:tcPr>
          <w:p w14:paraId="777BBA14">
            <w:pPr>
              <w:adjustRightInd w:val="0"/>
              <w:snapToGrid w:val="0"/>
              <w:spacing w:line="0" w:lineRule="atLeast"/>
              <w:rPr>
                <w:rFonts w:hint="eastAsia" w:asciiTheme="minorEastAsia" w:hAnsiTheme="minorEastAsia" w:eastAsiaTheme="minorEastAsia"/>
                <w:szCs w:val="21"/>
              </w:rPr>
            </w:pPr>
            <w:r>
              <w:rPr>
                <w:rFonts w:hint="eastAsia" w:cs="宋体"/>
              </w:rPr>
              <w:t>工业和信息化部教育与考试中心</w:t>
            </w:r>
          </w:p>
        </w:tc>
        <w:tc>
          <w:tcPr>
            <w:tcW w:w="801" w:type="pct"/>
            <w:vAlign w:val="center"/>
          </w:tcPr>
          <w:p w14:paraId="609E9477">
            <w:pPr>
              <w:adjustRightInd w:val="0"/>
              <w:snapToGrid w:val="0"/>
              <w:spacing w:line="0" w:lineRule="atLeast"/>
              <w:rPr>
                <w:rFonts w:hint="eastAsia" w:asciiTheme="minorEastAsia" w:hAnsiTheme="minorEastAsia" w:eastAsiaTheme="minorEastAsia"/>
                <w:szCs w:val="21"/>
              </w:rPr>
            </w:pPr>
            <w:r>
              <w:rPr>
                <w:rFonts w:hint="eastAsia" w:cs="宋体"/>
              </w:rPr>
              <w:t>大数据技术</w:t>
            </w:r>
          </w:p>
        </w:tc>
        <w:tc>
          <w:tcPr>
            <w:tcW w:w="1028" w:type="pct"/>
            <w:vAlign w:val="center"/>
          </w:tcPr>
          <w:p w14:paraId="3EB2752B">
            <w:pPr>
              <w:adjustRightInd w:val="0"/>
              <w:snapToGrid w:val="0"/>
              <w:spacing w:line="0" w:lineRule="atLeast"/>
              <w:rPr>
                <w:rFonts w:hint="eastAsia" w:asciiTheme="minorEastAsia" w:hAnsiTheme="minorEastAsia" w:eastAsiaTheme="minorEastAsia"/>
                <w:szCs w:val="21"/>
              </w:rPr>
            </w:pPr>
            <w:r>
              <w:rPr>
                <w:rFonts w:hint="eastAsia" w:cs="宋体"/>
              </w:rPr>
              <w:t>Python程序设计、数据采集与预处理技术、大数据分析与开发、机器学习应用开发</w:t>
            </w:r>
          </w:p>
        </w:tc>
        <w:tc>
          <w:tcPr>
            <w:tcW w:w="749" w:type="pct"/>
            <w:vAlign w:val="center"/>
          </w:tcPr>
          <w:p w14:paraId="5F45C797">
            <w:pPr>
              <w:adjustRightInd w:val="0"/>
              <w:snapToGrid w:val="0"/>
              <w:spacing w:line="0" w:lineRule="atLeast"/>
              <w:rPr>
                <w:rFonts w:hint="eastAsia" w:asciiTheme="minorEastAsia" w:hAnsiTheme="minorEastAsia" w:eastAsiaTheme="minorEastAsia"/>
                <w:szCs w:val="21"/>
              </w:rPr>
            </w:pPr>
            <w:r>
              <w:rPr>
                <w:rFonts w:hint="eastAsia" w:cs="宋体"/>
              </w:rPr>
              <w:t>第四、五学期</w:t>
            </w:r>
          </w:p>
        </w:tc>
        <w:tc>
          <w:tcPr>
            <w:tcW w:w="777" w:type="pct"/>
            <w:vMerge w:val="continue"/>
            <w:vAlign w:val="center"/>
          </w:tcPr>
          <w:p w14:paraId="1306C4F3">
            <w:pPr>
              <w:adjustRightInd w:val="0"/>
              <w:snapToGrid w:val="0"/>
              <w:spacing w:line="0" w:lineRule="atLeast"/>
              <w:rPr>
                <w:rFonts w:hint="eastAsia" w:asciiTheme="minorEastAsia" w:hAnsiTheme="minorEastAsia" w:eastAsiaTheme="minorEastAsia"/>
                <w:szCs w:val="21"/>
              </w:rPr>
            </w:pPr>
          </w:p>
        </w:tc>
      </w:tr>
      <w:tr w14:paraId="7E9DF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80" w:type="pct"/>
            <w:vAlign w:val="center"/>
          </w:tcPr>
          <w:p w14:paraId="71280CB9">
            <w:pPr>
              <w:adjustRightInd w:val="0"/>
              <w:snapToGrid w:val="0"/>
              <w:spacing w:line="0" w:lineRule="atLeast"/>
              <w:rPr>
                <w:rFonts w:hint="eastAsia" w:asciiTheme="minorEastAsia" w:hAnsiTheme="minorEastAsia" w:eastAsiaTheme="minorEastAsia"/>
                <w:szCs w:val="21"/>
              </w:rPr>
            </w:pPr>
            <w:r>
              <w:rPr>
                <w:rFonts w:hint="eastAsia" w:cs="宋体"/>
              </w:rPr>
              <w:t>全国计算机等级二级证书（C语言、Python语言、数据库）</w:t>
            </w:r>
          </w:p>
        </w:tc>
        <w:tc>
          <w:tcPr>
            <w:tcW w:w="665" w:type="pct"/>
            <w:vAlign w:val="center"/>
          </w:tcPr>
          <w:p w14:paraId="287D060D">
            <w:pPr>
              <w:adjustRightInd w:val="0"/>
              <w:snapToGrid w:val="0"/>
              <w:spacing w:line="0" w:lineRule="atLeast"/>
              <w:rPr>
                <w:rFonts w:hint="eastAsia" w:asciiTheme="minorEastAsia" w:hAnsiTheme="minorEastAsia" w:eastAsiaTheme="minorEastAsia"/>
                <w:szCs w:val="21"/>
              </w:rPr>
            </w:pPr>
            <w:r>
              <w:rPr>
                <w:rFonts w:cs="宋体"/>
              </w:rPr>
              <w:t>教育部考试中心</w:t>
            </w:r>
          </w:p>
        </w:tc>
        <w:tc>
          <w:tcPr>
            <w:tcW w:w="801" w:type="pct"/>
            <w:vAlign w:val="center"/>
          </w:tcPr>
          <w:p w14:paraId="5F5DE97A">
            <w:pPr>
              <w:adjustRightInd w:val="0"/>
              <w:snapToGrid w:val="0"/>
              <w:spacing w:line="0" w:lineRule="atLeast"/>
              <w:rPr>
                <w:rFonts w:hint="eastAsia" w:asciiTheme="minorEastAsia" w:hAnsiTheme="minorEastAsia" w:eastAsiaTheme="minorEastAsia"/>
                <w:szCs w:val="21"/>
              </w:rPr>
            </w:pPr>
            <w:r>
              <w:rPr>
                <w:rFonts w:hint="eastAsia" w:cs="宋体"/>
              </w:rPr>
              <w:t>大数据技术</w:t>
            </w:r>
          </w:p>
        </w:tc>
        <w:tc>
          <w:tcPr>
            <w:tcW w:w="1028" w:type="pct"/>
            <w:vAlign w:val="center"/>
          </w:tcPr>
          <w:p w14:paraId="30D2D579">
            <w:pPr>
              <w:adjustRightInd w:val="0"/>
              <w:snapToGrid w:val="0"/>
              <w:spacing w:line="0" w:lineRule="atLeast"/>
              <w:rPr>
                <w:rFonts w:hint="eastAsia" w:asciiTheme="minorEastAsia" w:hAnsiTheme="minorEastAsia" w:eastAsiaTheme="minorEastAsia"/>
                <w:szCs w:val="21"/>
              </w:rPr>
            </w:pPr>
            <w:r>
              <w:rPr>
                <w:rFonts w:hint="eastAsia" w:cs="宋体"/>
              </w:rPr>
              <w:t>针对考试科目对应相应课程：Python程序设计、程序设计基础、数据库应用开发技术</w:t>
            </w:r>
          </w:p>
        </w:tc>
        <w:tc>
          <w:tcPr>
            <w:tcW w:w="749" w:type="pct"/>
            <w:vAlign w:val="center"/>
          </w:tcPr>
          <w:p w14:paraId="235448DE">
            <w:pPr>
              <w:adjustRightInd w:val="0"/>
              <w:snapToGrid w:val="0"/>
              <w:spacing w:line="0" w:lineRule="atLeast"/>
              <w:rPr>
                <w:rFonts w:hint="eastAsia" w:asciiTheme="minorEastAsia" w:hAnsiTheme="minorEastAsia" w:eastAsiaTheme="minorEastAsia"/>
                <w:szCs w:val="21"/>
              </w:rPr>
            </w:pPr>
            <w:r>
              <w:rPr>
                <w:rFonts w:hint="eastAsia" w:cs="宋体"/>
              </w:rPr>
              <w:t>第二、三、四学期</w:t>
            </w:r>
          </w:p>
        </w:tc>
        <w:tc>
          <w:tcPr>
            <w:tcW w:w="777" w:type="pct"/>
            <w:vMerge w:val="continue"/>
            <w:vAlign w:val="center"/>
          </w:tcPr>
          <w:p w14:paraId="737C322E">
            <w:pPr>
              <w:adjustRightInd w:val="0"/>
              <w:snapToGrid w:val="0"/>
              <w:spacing w:line="0" w:lineRule="atLeast"/>
              <w:rPr>
                <w:rFonts w:hint="eastAsia" w:asciiTheme="minorEastAsia" w:hAnsiTheme="minorEastAsia" w:eastAsiaTheme="minorEastAsia"/>
                <w:szCs w:val="21"/>
              </w:rPr>
            </w:pPr>
          </w:p>
        </w:tc>
      </w:tr>
      <w:tr w14:paraId="0845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80" w:type="pct"/>
            <w:vAlign w:val="center"/>
          </w:tcPr>
          <w:p w14:paraId="0E2B15BA">
            <w:pPr>
              <w:adjustRightInd w:val="0"/>
              <w:snapToGrid w:val="0"/>
              <w:spacing w:line="0" w:lineRule="atLeast"/>
              <w:rPr>
                <w:rFonts w:hint="eastAsia" w:asciiTheme="minorEastAsia" w:hAnsiTheme="minorEastAsia" w:eastAsiaTheme="minorEastAsia"/>
                <w:szCs w:val="21"/>
              </w:rPr>
            </w:pPr>
            <w:r>
              <w:rPr>
                <w:rFonts w:hint="eastAsia" w:cs="宋体"/>
              </w:rPr>
              <w:t>大数据分析师认证（CDMP）</w:t>
            </w:r>
          </w:p>
        </w:tc>
        <w:tc>
          <w:tcPr>
            <w:tcW w:w="665" w:type="pct"/>
            <w:vAlign w:val="center"/>
          </w:tcPr>
          <w:p w14:paraId="25ED3D0A">
            <w:pPr>
              <w:adjustRightInd w:val="0"/>
              <w:snapToGrid w:val="0"/>
              <w:spacing w:line="0" w:lineRule="atLeast"/>
              <w:rPr>
                <w:rFonts w:hint="eastAsia" w:asciiTheme="minorEastAsia" w:hAnsiTheme="minorEastAsia" w:eastAsiaTheme="minorEastAsia"/>
                <w:szCs w:val="21"/>
              </w:rPr>
            </w:pPr>
            <w:r>
              <w:rPr>
                <w:rFonts w:hint="eastAsia" w:cs="宋体"/>
              </w:rPr>
              <w:t>CDMP认证中心</w:t>
            </w:r>
          </w:p>
        </w:tc>
        <w:tc>
          <w:tcPr>
            <w:tcW w:w="801" w:type="pct"/>
            <w:vAlign w:val="center"/>
          </w:tcPr>
          <w:p w14:paraId="194B7284">
            <w:pPr>
              <w:adjustRightInd w:val="0"/>
              <w:snapToGrid w:val="0"/>
              <w:spacing w:line="0" w:lineRule="atLeast"/>
              <w:rPr>
                <w:rFonts w:hint="eastAsia" w:asciiTheme="minorEastAsia" w:hAnsiTheme="minorEastAsia" w:eastAsiaTheme="minorEastAsia"/>
                <w:szCs w:val="21"/>
              </w:rPr>
            </w:pPr>
            <w:r>
              <w:rPr>
                <w:rFonts w:hint="eastAsia" w:cs="宋体"/>
              </w:rPr>
              <w:t>大数据技术</w:t>
            </w:r>
          </w:p>
        </w:tc>
        <w:tc>
          <w:tcPr>
            <w:tcW w:w="1028" w:type="pct"/>
            <w:vAlign w:val="center"/>
          </w:tcPr>
          <w:p w14:paraId="7E74E92C">
            <w:pPr>
              <w:adjustRightInd w:val="0"/>
              <w:snapToGrid w:val="0"/>
              <w:spacing w:line="0" w:lineRule="atLeast"/>
              <w:rPr>
                <w:rFonts w:hint="eastAsia" w:asciiTheme="minorEastAsia" w:hAnsiTheme="minorEastAsia" w:eastAsiaTheme="minorEastAsia"/>
                <w:szCs w:val="21"/>
              </w:rPr>
            </w:pPr>
            <w:r>
              <w:rPr>
                <w:rFonts w:hint="eastAsia" w:cs="宋体"/>
              </w:rPr>
              <w:t>大数据分析与开发、数据仓库、智能数据处理技术</w:t>
            </w:r>
          </w:p>
        </w:tc>
        <w:tc>
          <w:tcPr>
            <w:tcW w:w="749" w:type="pct"/>
            <w:vAlign w:val="center"/>
          </w:tcPr>
          <w:p w14:paraId="6622382A">
            <w:pPr>
              <w:adjustRightInd w:val="0"/>
              <w:snapToGrid w:val="0"/>
              <w:spacing w:line="0" w:lineRule="atLeast"/>
              <w:rPr>
                <w:rFonts w:hint="eastAsia" w:asciiTheme="minorEastAsia" w:hAnsiTheme="minorEastAsia" w:eastAsiaTheme="minorEastAsia"/>
                <w:szCs w:val="21"/>
              </w:rPr>
            </w:pPr>
            <w:r>
              <w:rPr>
                <w:rFonts w:hint="eastAsia" w:cs="宋体"/>
              </w:rPr>
              <w:t>第四、五学期</w:t>
            </w:r>
          </w:p>
        </w:tc>
        <w:tc>
          <w:tcPr>
            <w:tcW w:w="777" w:type="pct"/>
            <w:vMerge w:val="continue"/>
            <w:vAlign w:val="center"/>
          </w:tcPr>
          <w:p w14:paraId="49D194C6">
            <w:pPr>
              <w:adjustRightInd w:val="0"/>
              <w:snapToGrid w:val="0"/>
              <w:spacing w:line="0" w:lineRule="atLeast"/>
              <w:rPr>
                <w:rFonts w:hint="eastAsia" w:asciiTheme="minorEastAsia" w:hAnsiTheme="minorEastAsia" w:eastAsiaTheme="minorEastAsia"/>
                <w:szCs w:val="21"/>
              </w:rPr>
            </w:pPr>
          </w:p>
        </w:tc>
      </w:tr>
      <w:tr w14:paraId="58225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8" w:hRule="atLeast"/>
        </w:trPr>
        <w:tc>
          <w:tcPr>
            <w:tcW w:w="980" w:type="pct"/>
            <w:vAlign w:val="center"/>
          </w:tcPr>
          <w:p w14:paraId="3420B7A9">
            <w:pPr>
              <w:adjustRightInd w:val="0"/>
              <w:snapToGrid w:val="0"/>
              <w:spacing w:line="0" w:lineRule="atLeast"/>
              <w:rPr>
                <w:rFonts w:hint="eastAsia" w:asciiTheme="minorEastAsia" w:hAnsiTheme="minorEastAsia" w:eastAsiaTheme="minorEastAsia"/>
                <w:szCs w:val="21"/>
              </w:rPr>
            </w:pPr>
            <w:r>
              <w:rPr>
                <w:rFonts w:hint="eastAsia" w:cs="宋体"/>
              </w:rPr>
              <w:t>CDA数据分析师</w:t>
            </w:r>
          </w:p>
        </w:tc>
        <w:tc>
          <w:tcPr>
            <w:tcW w:w="665" w:type="pct"/>
            <w:vAlign w:val="center"/>
          </w:tcPr>
          <w:p w14:paraId="6632AF46">
            <w:pPr>
              <w:adjustRightInd w:val="0"/>
              <w:snapToGrid w:val="0"/>
              <w:spacing w:line="0" w:lineRule="atLeast"/>
              <w:rPr>
                <w:rFonts w:hint="eastAsia" w:asciiTheme="minorEastAsia" w:hAnsiTheme="minorEastAsia" w:eastAsiaTheme="minorEastAsia"/>
                <w:szCs w:val="21"/>
              </w:rPr>
            </w:pPr>
            <w:r>
              <w:rPr>
                <w:rFonts w:hint="eastAsia" w:cs="宋体"/>
              </w:rPr>
              <w:t>CDA认证中心</w:t>
            </w:r>
          </w:p>
        </w:tc>
        <w:tc>
          <w:tcPr>
            <w:tcW w:w="801" w:type="pct"/>
            <w:vAlign w:val="center"/>
          </w:tcPr>
          <w:p w14:paraId="417B0B50">
            <w:pPr>
              <w:adjustRightInd w:val="0"/>
              <w:snapToGrid w:val="0"/>
              <w:spacing w:line="0" w:lineRule="atLeast"/>
              <w:rPr>
                <w:rFonts w:hint="eastAsia" w:asciiTheme="minorEastAsia" w:hAnsiTheme="minorEastAsia" w:eastAsiaTheme="minorEastAsia"/>
                <w:szCs w:val="21"/>
              </w:rPr>
            </w:pPr>
            <w:r>
              <w:rPr>
                <w:rFonts w:hint="eastAsia" w:cs="宋体"/>
              </w:rPr>
              <w:t>大数据技术</w:t>
            </w:r>
          </w:p>
        </w:tc>
        <w:tc>
          <w:tcPr>
            <w:tcW w:w="1028" w:type="pct"/>
            <w:vAlign w:val="center"/>
          </w:tcPr>
          <w:p w14:paraId="286DD1B5">
            <w:pPr>
              <w:adjustRightInd w:val="0"/>
              <w:snapToGrid w:val="0"/>
              <w:spacing w:line="0" w:lineRule="atLeast"/>
              <w:rPr>
                <w:rFonts w:hint="eastAsia" w:asciiTheme="minorEastAsia" w:hAnsiTheme="minorEastAsia" w:eastAsiaTheme="minorEastAsia"/>
                <w:szCs w:val="21"/>
              </w:rPr>
            </w:pPr>
            <w:r>
              <w:rPr>
                <w:rFonts w:hint="eastAsia" w:cs="宋体"/>
              </w:rPr>
              <w:t>数据采集与预处理技术、大数据分析与开发、机器学习应用开发</w:t>
            </w:r>
          </w:p>
        </w:tc>
        <w:tc>
          <w:tcPr>
            <w:tcW w:w="749" w:type="pct"/>
            <w:vAlign w:val="center"/>
          </w:tcPr>
          <w:p w14:paraId="1812D7D6">
            <w:pPr>
              <w:adjustRightInd w:val="0"/>
              <w:snapToGrid w:val="0"/>
              <w:spacing w:line="0" w:lineRule="atLeast"/>
              <w:rPr>
                <w:rFonts w:hint="eastAsia" w:asciiTheme="minorEastAsia" w:hAnsiTheme="minorEastAsia" w:eastAsiaTheme="minorEastAsia"/>
                <w:szCs w:val="21"/>
              </w:rPr>
            </w:pPr>
            <w:r>
              <w:rPr>
                <w:rFonts w:hint="eastAsia" w:asciiTheme="minorEastAsia" w:hAnsiTheme="minorEastAsia" w:eastAsiaTheme="minorEastAsia"/>
                <w:szCs w:val="21"/>
              </w:rPr>
              <w:t>第四、五学期</w:t>
            </w:r>
          </w:p>
        </w:tc>
        <w:tc>
          <w:tcPr>
            <w:tcW w:w="777" w:type="pct"/>
            <w:vMerge w:val="continue"/>
            <w:vAlign w:val="center"/>
          </w:tcPr>
          <w:p w14:paraId="25EEE05F">
            <w:pPr>
              <w:adjustRightInd w:val="0"/>
              <w:snapToGrid w:val="0"/>
              <w:spacing w:line="0" w:lineRule="atLeast"/>
              <w:rPr>
                <w:rFonts w:hint="eastAsia" w:asciiTheme="minorEastAsia" w:hAnsiTheme="minorEastAsia" w:eastAsiaTheme="minorEastAsia"/>
                <w:szCs w:val="21"/>
              </w:rPr>
            </w:pPr>
          </w:p>
        </w:tc>
      </w:tr>
    </w:tbl>
    <w:p w14:paraId="59341BE7">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（五）操行合格要求</w:t>
      </w:r>
    </w:p>
    <w:p w14:paraId="3F1F4842">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根据《江苏海事职业技术学院学生操行积分管理办法》对学生进行德育素质考核，考核结果合格及以上。</w:t>
      </w:r>
    </w:p>
    <w:p w14:paraId="2E23CF90">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（六）体质合格要求</w:t>
      </w:r>
    </w:p>
    <w:p w14:paraId="2EDE9B02">
      <w:pPr>
        <w:adjustRightInd w:val="0"/>
        <w:snapToGrid w:val="0"/>
        <w:spacing w:line="360" w:lineRule="auto"/>
        <w:ind w:firstLine="560" w:firstLineChars="20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根据《国家学生体质健康标准》对学生进行体质测试</w:t>
      </w:r>
      <w:r>
        <w:rPr>
          <w:rFonts w:asciiTheme="minorEastAsia" w:hAnsiTheme="minorEastAsia" w:eastAsiaTheme="minorEastAsia"/>
          <w:sz w:val="28"/>
          <w:szCs w:val="28"/>
        </w:rPr>
        <w:t>，</w:t>
      </w:r>
      <w:r>
        <w:rPr>
          <w:rFonts w:hint="eastAsia" w:asciiTheme="minorEastAsia" w:hAnsiTheme="minorEastAsia" w:eastAsiaTheme="minorEastAsia"/>
          <w:sz w:val="28"/>
          <w:szCs w:val="28"/>
        </w:rPr>
        <w:t>考核结果合格以上。</w:t>
      </w:r>
    </w:p>
    <w:p w14:paraId="2CED7172">
      <w:pPr>
        <w:pStyle w:val="2"/>
        <w:spacing w:before="312" w:after="312"/>
        <w:ind w:firstLine="0" w:firstLineChars="0"/>
        <w:rPr>
          <w:rFonts w:hint="eastAsia" w:ascii="微软雅黑" w:hAnsi="微软雅黑" w:eastAsia="微软雅黑"/>
          <w:b/>
          <w:color w:val="auto"/>
          <w:sz w:val="28"/>
          <w:szCs w:val="28"/>
        </w:rPr>
      </w:pPr>
      <w:bookmarkStart w:id="10" w:name="_Toc396497528"/>
      <w:bookmarkStart w:id="11" w:name="_Toc396497636"/>
      <w:bookmarkStart w:id="12" w:name="_Toc396497326"/>
      <w:bookmarkStart w:id="13" w:name="_Toc393236439"/>
      <w:bookmarkStart w:id="14" w:name="_Toc396501702"/>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转专业录取办法</w:t>
      </w:r>
    </w:p>
    <w:p w14:paraId="2C25F476">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一</w:t>
      </w:r>
      <w:r>
        <w:rPr>
          <w:rFonts w:ascii="微软雅黑" w:hAnsi="微软雅黑" w:eastAsia="微软雅黑"/>
          <w:b/>
          <w:color w:val="auto"/>
          <w:sz w:val="28"/>
          <w:szCs w:val="28"/>
        </w:rPr>
        <w:t>）</w:t>
      </w:r>
      <w:r>
        <w:rPr>
          <w:rFonts w:hint="eastAsia" w:ascii="微软雅黑" w:hAnsi="微软雅黑" w:eastAsia="微软雅黑"/>
          <w:b/>
          <w:color w:val="auto"/>
          <w:sz w:val="28"/>
          <w:szCs w:val="28"/>
        </w:rPr>
        <w:t>接受对象</w:t>
      </w:r>
    </w:p>
    <w:bookmarkEnd w:id="10"/>
    <w:bookmarkEnd w:id="11"/>
    <w:bookmarkEnd w:id="12"/>
    <w:bookmarkEnd w:id="13"/>
    <w:bookmarkEnd w:id="14"/>
    <w:p w14:paraId="472028BC">
      <w:pPr>
        <w:adjustRightInd w:val="0"/>
        <w:snapToGrid w:val="0"/>
        <w:spacing w:line="360" w:lineRule="auto"/>
        <w:ind w:firstLine="480"/>
        <w:rPr>
          <w:rFonts w:ascii="Times New Roman" w:hAnsi="Times New Roman"/>
          <w:sz w:val="28"/>
          <w:szCs w:val="28"/>
        </w:rPr>
      </w:pPr>
      <w:r>
        <w:rPr>
          <w:rFonts w:hint="eastAsia" w:ascii="Times New Roman" w:hAnsi="Times New Roman"/>
          <w:sz w:val="28"/>
          <w:szCs w:val="28"/>
        </w:rPr>
        <w:t>符合《江苏海事职业技术学院学生学籍管理办法》中转专业规定的相关学生，同时满足以下条件：。</w:t>
      </w:r>
    </w:p>
    <w:p w14:paraId="7893307A">
      <w:pPr>
        <w:pStyle w:val="2"/>
        <w:numPr>
          <w:ilvl w:val="0"/>
          <w:numId w:val="1"/>
        </w:numPr>
        <w:spacing w:beforeLines="0" w:afterLines="0" w:line="360" w:lineRule="auto"/>
        <w:ind w:firstLineChars="0"/>
        <w:rPr>
          <w:rFonts w:ascii="Times New Roman" w:hAnsi="Times New Roman" w:eastAsia="宋体"/>
          <w:sz w:val="28"/>
          <w:szCs w:val="28"/>
        </w:rPr>
      </w:pPr>
      <w:r>
        <w:rPr>
          <w:rFonts w:hint="eastAsia" w:ascii="Times New Roman" w:hAnsi="Times New Roman" w:eastAsia="宋体"/>
          <w:sz w:val="28"/>
          <w:szCs w:val="28"/>
        </w:rPr>
        <w:t>统招高考为理科类学生；</w:t>
      </w:r>
    </w:p>
    <w:p w14:paraId="37C79448">
      <w:pPr>
        <w:pStyle w:val="2"/>
        <w:numPr>
          <w:ilvl w:val="0"/>
          <w:numId w:val="1"/>
        </w:numPr>
        <w:spacing w:beforeLines="0" w:afterLines="0" w:line="360" w:lineRule="auto"/>
        <w:ind w:firstLineChars="0"/>
        <w:rPr>
          <w:rFonts w:ascii="Times New Roman" w:hAnsi="Times New Roman" w:eastAsia="宋体"/>
          <w:sz w:val="28"/>
          <w:szCs w:val="28"/>
        </w:rPr>
      </w:pPr>
      <w:r>
        <w:rPr>
          <w:rFonts w:hint="eastAsia" w:ascii="Times New Roman" w:hAnsi="Times New Roman" w:eastAsia="宋体"/>
          <w:sz w:val="28"/>
          <w:szCs w:val="28"/>
        </w:rPr>
        <w:t>政治思想表现优良，遵守学校各项规章制度，未受到记过及以上处分；</w:t>
      </w:r>
    </w:p>
    <w:p w14:paraId="0D0DB214">
      <w:pPr>
        <w:pStyle w:val="2"/>
        <w:numPr>
          <w:ilvl w:val="0"/>
          <w:numId w:val="1"/>
        </w:numPr>
        <w:spacing w:beforeLines="0" w:afterLines="0" w:line="360" w:lineRule="auto"/>
        <w:ind w:firstLineChars="0"/>
        <w:rPr>
          <w:rFonts w:ascii="Times New Roman" w:hAnsi="Times New Roman" w:eastAsia="宋体"/>
          <w:sz w:val="28"/>
          <w:szCs w:val="28"/>
        </w:rPr>
      </w:pPr>
      <w:r>
        <w:rPr>
          <w:rFonts w:hint="eastAsia" w:ascii="Times New Roman" w:hAnsi="Times New Roman" w:eastAsia="宋体"/>
          <w:sz w:val="28"/>
          <w:szCs w:val="28"/>
        </w:rPr>
        <w:t>未办理过转专业者；</w:t>
      </w:r>
    </w:p>
    <w:p w14:paraId="031DE865">
      <w:pPr>
        <w:pStyle w:val="106"/>
        <w:numPr>
          <w:ilvl w:val="0"/>
          <w:numId w:val="1"/>
        </w:numPr>
        <w:spacing w:line="360" w:lineRule="auto"/>
        <w:ind w:firstLineChars="0"/>
        <w:rPr>
          <w:rFonts w:ascii="Times New Roman" w:hAnsi="Times New Roman"/>
          <w:sz w:val="28"/>
          <w:szCs w:val="28"/>
        </w:rPr>
      </w:pPr>
      <w:r>
        <w:rPr>
          <w:rFonts w:hint="eastAsia" w:ascii="Times New Roman" w:hAnsi="Times New Roman"/>
          <w:sz w:val="28"/>
          <w:szCs w:val="28"/>
        </w:rPr>
        <w:t>对计算机类相关专业有较高兴趣；</w:t>
      </w:r>
    </w:p>
    <w:p w14:paraId="2D690AFD">
      <w:pPr>
        <w:pStyle w:val="106"/>
        <w:numPr>
          <w:ilvl w:val="0"/>
          <w:numId w:val="1"/>
        </w:numPr>
        <w:spacing w:line="360" w:lineRule="auto"/>
        <w:ind w:firstLineChars="0"/>
        <w:rPr>
          <w:rFonts w:ascii="Times New Roman" w:hAnsi="Times New Roman"/>
          <w:sz w:val="28"/>
          <w:szCs w:val="28"/>
        </w:rPr>
      </w:pPr>
      <w:r>
        <w:rPr>
          <w:rFonts w:hint="eastAsia" w:ascii="Times New Roman" w:hAnsi="Times New Roman"/>
          <w:sz w:val="28"/>
          <w:szCs w:val="28"/>
        </w:rPr>
        <w:t>所修课程全部合格；</w:t>
      </w:r>
      <w:r>
        <w:t> </w:t>
      </w:r>
    </w:p>
    <w:p w14:paraId="31D74A67">
      <w:pPr>
        <w:pStyle w:val="106"/>
        <w:numPr>
          <w:ilvl w:val="0"/>
          <w:numId w:val="1"/>
        </w:numPr>
        <w:spacing w:line="360" w:lineRule="auto"/>
        <w:ind w:firstLineChars="0"/>
        <w:rPr>
          <w:rFonts w:ascii="Times New Roman" w:hAnsi="Times New Roman"/>
          <w:sz w:val="28"/>
          <w:szCs w:val="28"/>
        </w:rPr>
      </w:pPr>
      <w:r>
        <w:rPr>
          <w:rFonts w:hint="eastAsia" w:ascii="Times New Roman" w:hAnsi="Times New Roman"/>
          <w:sz w:val="28"/>
          <w:szCs w:val="28"/>
        </w:rPr>
        <w:t>获得过计算机相关等级证书、计算机相关竞赛以及数学相关竞赛的学生可以不受第</w:t>
      </w:r>
      <w:r>
        <w:rPr>
          <w:rFonts w:hint="eastAsia" w:ascii="Times New Roman" w:hAnsi="Times New Roman"/>
          <w:sz w:val="28"/>
          <w:szCs w:val="28"/>
          <w:lang w:val="en-US" w:eastAsia="zh-CN"/>
        </w:rPr>
        <w:t>5</w:t>
      </w:r>
      <w:r>
        <w:rPr>
          <w:rFonts w:hint="eastAsia" w:ascii="Times New Roman" w:hAnsi="Times New Roman"/>
          <w:sz w:val="28"/>
          <w:szCs w:val="28"/>
        </w:rPr>
        <w:t>条要求限制。</w:t>
      </w:r>
    </w:p>
    <w:p w14:paraId="2B4E2EA1">
      <w:pPr>
        <w:pStyle w:val="2"/>
        <w:spacing w:before="312" w:after="312"/>
        <w:ind w:firstLine="0" w:firstLineChars="0"/>
        <w:rPr>
          <w:rFonts w:hint="eastAsia" w:ascii="微软雅黑" w:hAnsi="微软雅黑" w:eastAsia="微软雅黑"/>
          <w:b/>
          <w:color w:val="auto"/>
          <w:sz w:val="28"/>
          <w:szCs w:val="28"/>
        </w:rPr>
      </w:pPr>
      <w:r>
        <w:rPr>
          <w:rFonts w:ascii="微软雅黑" w:hAnsi="微软雅黑" w:eastAsia="微软雅黑"/>
          <w:b/>
          <w:color w:val="auto"/>
          <w:sz w:val="28"/>
          <w:szCs w:val="28"/>
        </w:rPr>
        <w:t>（</w:t>
      </w:r>
      <w:r>
        <w:rPr>
          <w:rFonts w:hint="eastAsia" w:ascii="微软雅黑" w:hAnsi="微软雅黑" w:eastAsia="微软雅黑"/>
          <w:b/>
          <w:color w:val="auto"/>
          <w:sz w:val="28"/>
          <w:szCs w:val="28"/>
        </w:rPr>
        <w:t>二</w:t>
      </w:r>
      <w:r>
        <w:rPr>
          <w:rFonts w:ascii="微软雅黑" w:hAnsi="微软雅黑" w:eastAsia="微软雅黑"/>
          <w:b/>
          <w:color w:val="auto"/>
          <w:sz w:val="28"/>
          <w:szCs w:val="28"/>
        </w:rPr>
        <w:t>）</w:t>
      </w:r>
      <w:r>
        <w:rPr>
          <w:rFonts w:hint="eastAsia" w:ascii="微软雅黑" w:hAnsi="微软雅黑" w:eastAsia="微软雅黑"/>
          <w:b/>
          <w:color w:val="auto"/>
          <w:sz w:val="28"/>
          <w:szCs w:val="28"/>
        </w:rPr>
        <w:t>遴选方案</w:t>
      </w:r>
      <w:bookmarkStart w:id="15" w:name="_GoBack"/>
      <w:bookmarkEnd w:id="15"/>
    </w:p>
    <w:p w14:paraId="715FAED3">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1、考核内容及方式：参加信息</w:t>
      </w:r>
      <w:r>
        <w:rPr>
          <w:rFonts w:hint="eastAsia" w:ascii="Times New Roman" w:hAnsi="Times New Roman" w:cs="Times New Roman"/>
          <w:kern w:val="2"/>
          <w:sz w:val="28"/>
          <w:szCs w:val="28"/>
          <w:lang w:eastAsia="zh-Hans"/>
        </w:rPr>
        <w:t>工程</w:t>
      </w:r>
      <w:r>
        <w:rPr>
          <w:rFonts w:hint="eastAsia" w:ascii="Times New Roman" w:hAnsi="Times New Roman" w:cs="Times New Roman"/>
          <w:kern w:val="2"/>
          <w:sz w:val="28"/>
          <w:szCs w:val="28"/>
        </w:rPr>
        <w:t>学院组织的综合素质面试。在校期间学习成绩和综合素质面试，各占总成绩50%。</w:t>
      </w:r>
    </w:p>
    <w:p w14:paraId="7EC2DAC5">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2、转入学生须在面试时向学院提供在校成绩单一份。</w:t>
      </w:r>
    </w:p>
    <w:p w14:paraId="144FBD2B">
      <w:pPr>
        <w:pStyle w:val="10"/>
        <w:spacing w:before="0" w:beforeAutospacing="0" w:after="0" w:afterAutospacing="0"/>
        <w:ind w:firstLine="641"/>
        <w:jc w:val="both"/>
        <w:rPr>
          <w:rFonts w:ascii="Times New Roman" w:hAnsi="Times New Roman" w:cs="Times New Roman"/>
          <w:kern w:val="2"/>
          <w:sz w:val="28"/>
          <w:szCs w:val="28"/>
        </w:rPr>
      </w:pPr>
      <w:r>
        <w:rPr>
          <w:rFonts w:hint="eastAsia" w:ascii="Times New Roman" w:hAnsi="Times New Roman" w:cs="Times New Roman"/>
          <w:kern w:val="2"/>
          <w:sz w:val="28"/>
          <w:szCs w:val="28"/>
        </w:rPr>
        <w:t>3、按总成绩从高到低的顺序在规定接收名额范围内接收转专业的学生。</w:t>
      </w:r>
    </w:p>
    <w:p w14:paraId="5218C900">
      <w:pPr>
        <w:ind w:left="770" w:leftChars="100" w:hanging="560" w:hangingChars="200"/>
        <w:rPr>
          <w:rFonts w:ascii="Times New Roman" w:hAnsi="Times New Roman"/>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C2C95">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A053BA"/>
    <w:multiLevelType w:val="multilevel"/>
    <w:tmpl w:val="57A053BA"/>
    <w:lvl w:ilvl="0" w:tentative="0">
      <w:start w:val="1"/>
      <w:numFmt w:val="decimal"/>
      <w:lvlText w:val="%1、"/>
      <w:lvlJc w:val="left"/>
      <w:pPr>
        <w:ind w:left="984" w:hanging="435"/>
      </w:pPr>
      <w:rPr>
        <w:rFonts w:hint="default"/>
      </w:rPr>
    </w:lvl>
    <w:lvl w:ilvl="1" w:tentative="0">
      <w:start w:val="1"/>
      <w:numFmt w:val="lowerLetter"/>
      <w:lvlText w:val="%2)"/>
      <w:lvlJc w:val="left"/>
      <w:pPr>
        <w:ind w:left="1389" w:hanging="420"/>
      </w:pPr>
    </w:lvl>
    <w:lvl w:ilvl="2" w:tentative="0">
      <w:start w:val="1"/>
      <w:numFmt w:val="lowerRoman"/>
      <w:lvlText w:val="%3."/>
      <w:lvlJc w:val="right"/>
      <w:pPr>
        <w:ind w:left="1809" w:hanging="420"/>
      </w:pPr>
    </w:lvl>
    <w:lvl w:ilvl="3" w:tentative="0">
      <w:start w:val="1"/>
      <w:numFmt w:val="decimal"/>
      <w:lvlText w:val="%4."/>
      <w:lvlJc w:val="left"/>
      <w:pPr>
        <w:ind w:left="2229" w:hanging="420"/>
      </w:pPr>
    </w:lvl>
    <w:lvl w:ilvl="4" w:tentative="0">
      <w:start w:val="1"/>
      <w:numFmt w:val="lowerLetter"/>
      <w:lvlText w:val="%5)"/>
      <w:lvlJc w:val="left"/>
      <w:pPr>
        <w:ind w:left="2649" w:hanging="420"/>
      </w:pPr>
    </w:lvl>
    <w:lvl w:ilvl="5" w:tentative="0">
      <w:start w:val="1"/>
      <w:numFmt w:val="lowerRoman"/>
      <w:lvlText w:val="%6."/>
      <w:lvlJc w:val="right"/>
      <w:pPr>
        <w:ind w:left="3069" w:hanging="420"/>
      </w:pPr>
    </w:lvl>
    <w:lvl w:ilvl="6" w:tentative="0">
      <w:start w:val="1"/>
      <w:numFmt w:val="decimal"/>
      <w:lvlText w:val="%7."/>
      <w:lvlJc w:val="left"/>
      <w:pPr>
        <w:ind w:left="3489" w:hanging="420"/>
      </w:pPr>
    </w:lvl>
    <w:lvl w:ilvl="7" w:tentative="0">
      <w:start w:val="1"/>
      <w:numFmt w:val="lowerLetter"/>
      <w:lvlText w:val="%8)"/>
      <w:lvlJc w:val="left"/>
      <w:pPr>
        <w:ind w:left="3909" w:hanging="420"/>
      </w:pPr>
    </w:lvl>
    <w:lvl w:ilvl="8" w:tentative="0">
      <w:start w:val="1"/>
      <w:numFmt w:val="lowerRoman"/>
      <w:lvlText w:val="%9."/>
      <w:lvlJc w:val="right"/>
      <w:pPr>
        <w:ind w:left="432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F75"/>
    <w:rsid w:val="000038C7"/>
    <w:rsid w:val="00007931"/>
    <w:rsid w:val="00014122"/>
    <w:rsid w:val="00015D97"/>
    <w:rsid w:val="00015F76"/>
    <w:rsid w:val="000219DE"/>
    <w:rsid w:val="00041A03"/>
    <w:rsid w:val="00043A1D"/>
    <w:rsid w:val="000462EE"/>
    <w:rsid w:val="00054579"/>
    <w:rsid w:val="00054585"/>
    <w:rsid w:val="000550CB"/>
    <w:rsid w:val="000570EF"/>
    <w:rsid w:val="00061F31"/>
    <w:rsid w:val="00063280"/>
    <w:rsid w:val="00064E7C"/>
    <w:rsid w:val="00067B56"/>
    <w:rsid w:val="00073F39"/>
    <w:rsid w:val="000753FE"/>
    <w:rsid w:val="00075402"/>
    <w:rsid w:val="00075551"/>
    <w:rsid w:val="00081126"/>
    <w:rsid w:val="0008367B"/>
    <w:rsid w:val="00083C59"/>
    <w:rsid w:val="00083DED"/>
    <w:rsid w:val="00085B6D"/>
    <w:rsid w:val="00085C43"/>
    <w:rsid w:val="0008669F"/>
    <w:rsid w:val="000918CB"/>
    <w:rsid w:val="000956F1"/>
    <w:rsid w:val="000A00CF"/>
    <w:rsid w:val="000A0EB6"/>
    <w:rsid w:val="000A3059"/>
    <w:rsid w:val="000A62DC"/>
    <w:rsid w:val="000A6911"/>
    <w:rsid w:val="000B36CB"/>
    <w:rsid w:val="000B5D50"/>
    <w:rsid w:val="000C03B2"/>
    <w:rsid w:val="000D40A9"/>
    <w:rsid w:val="000D434A"/>
    <w:rsid w:val="000D5F45"/>
    <w:rsid w:val="000D6896"/>
    <w:rsid w:val="000E13D9"/>
    <w:rsid w:val="000E7029"/>
    <w:rsid w:val="000E7CC1"/>
    <w:rsid w:val="000F21AB"/>
    <w:rsid w:val="000F4019"/>
    <w:rsid w:val="000F4F92"/>
    <w:rsid w:val="000F75CD"/>
    <w:rsid w:val="00100315"/>
    <w:rsid w:val="001125D5"/>
    <w:rsid w:val="00112D75"/>
    <w:rsid w:val="00114BF6"/>
    <w:rsid w:val="0011602B"/>
    <w:rsid w:val="00120749"/>
    <w:rsid w:val="0012179F"/>
    <w:rsid w:val="001219A1"/>
    <w:rsid w:val="00140B33"/>
    <w:rsid w:val="00160373"/>
    <w:rsid w:val="00160624"/>
    <w:rsid w:val="00163CAB"/>
    <w:rsid w:val="00164A37"/>
    <w:rsid w:val="00164FE4"/>
    <w:rsid w:val="00175F7A"/>
    <w:rsid w:val="00176F3A"/>
    <w:rsid w:val="001773DF"/>
    <w:rsid w:val="00182CB1"/>
    <w:rsid w:val="001856F9"/>
    <w:rsid w:val="00190B98"/>
    <w:rsid w:val="00191FF6"/>
    <w:rsid w:val="0019454A"/>
    <w:rsid w:val="001A3421"/>
    <w:rsid w:val="001A7A20"/>
    <w:rsid w:val="001B1D3B"/>
    <w:rsid w:val="001B644F"/>
    <w:rsid w:val="001B6CDB"/>
    <w:rsid w:val="001C0A25"/>
    <w:rsid w:val="001C2B09"/>
    <w:rsid w:val="001D0185"/>
    <w:rsid w:val="001D1B72"/>
    <w:rsid w:val="001D277B"/>
    <w:rsid w:val="001E1361"/>
    <w:rsid w:val="001E138C"/>
    <w:rsid w:val="001E3205"/>
    <w:rsid w:val="001F0F0E"/>
    <w:rsid w:val="001F6DA2"/>
    <w:rsid w:val="001F75D5"/>
    <w:rsid w:val="0020248A"/>
    <w:rsid w:val="0020389C"/>
    <w:rsid w:val="00203CC0"/>
    <w:rsid w:val="00203D4D"/>
    <w:rsid w:val="00204A76"/>
    <w:rsid w:val="00205290"/>
    <w:rsid w:val="00220184"/>
    <w:rsid w:val="00220752"/>
    <w:rsid w:val="002267CC"/>
    <w:rsid w:val="002336A9"/>
    <w:rsid w:val="002366FD"/>
    <w:rsid w:val="002426E9"/>
    <w:rsid w:val="00244444"/>
    <w:rsid w:val="00250B53"/>
    <w:rsid w:val="00257D08"/>
    <w:rsid w:val="002737B8"/>
    <w:rsid w:val="00274365"/>
    <w:rsid w:val="0028070B"/>
    <w:rsid w:val="00296891"/>
    <w:rsid w:val="002B3EA2"/>
    <w:rsid w:val="002B7D5D"/>
    <w:rsid w:val="002C35DB"/>
    <w:rsid w:val="002C79DD"/>
    <w:rsid w:val="002D3A7E"/>
    <w:rsid w:val="002D70F3"/>
    <w:rsid w:val="002E0211"/>
    <w:rsid w:val="002E1F8C"/>
    <w:rsid w:val="002E6EEF"/>
    <w:rsid w:val="002E71BF"/>
    <w:rsid w:val="002F2EB1"/>
    <w:rsid w:val="002F5BD7"/>
    <w:rsid w:val="00300158"/>
    <w:rsid w:val="00302481"/>
    <w:rsid w:val="0030288B"/>
    <w:rsid w:val="003055C1"/>
    <w:rsid w:val="00306404"/>
    <w:rsid w:val="0030654B"/>
    <w:rsid w:val="00307A16"/>
    <w:rsid w:val="003107AF"/>
    <w:rsid w:val="0031229B"/>
    <w:rsid w:val="00315052"/>
    <w:rsid w:val="00315B23"/>
    <w:rsid w:val="003237F6"/>
    <w:rsid w:val="003240F1"/>
    <w:rsid w:val="003267E6"/>
    <w:rsid w:val="003270CF"/>
    <w:rsid w:val="00327CC3"/>
    <w:rsid w:val="00330B0B"/>
    <w:rsid w:val="00330B73"/>
    <w:rsid w:val="0033197B"/>
    <w:rsid w:val="003330F8"/>
    <w:rsid w:val="00335D33"/>
    <w:rsid w:val="00342689"/>
    <w:rsid w:val="003478C3"/>
    <w:rsid w:val="0035181D"/>
    <w:rsid w:val="00356457"/>
    <w:rsid w:val="00356F43"/>
    <w:rsid w:val="00370C26"/>
    <w:rsid w:val="00373FB1"/>
    <w:rsid w:val="003747B6"/>
    <w:rsid w:val="003904A6"/>
    <w:rsid w:val="003949E2"/>
    <w:rsid w:val="003A27D2"/>
    <w:rsid w:val="003A52CE"/>
    <w:rsid w:val="003A56A5"/>
    <w:rsid w:val="003B12EC"/>
    <w:rsid w:val="003B2ACD"/>
    <w:rsid w:val="003B43E0"/>
    <w:rsid w:val="003B6D63"/>
    <w:rsid w:val="003D0082"/>
    <w:rsid w:val="003D0B78"/>
    <w:rsid w:val="003D2174"/>
    <w:rsid w:val="003D4C18"/>
    <w:rsid w:val="003E363C"/>
    <w:rsid w:val="003E52D1"/>
    <w:rsid w:val="003F1ABC"/>
    <w:rsid w:val="003F3835"/>
    <w:rsid w:val="003F6CC9"/>
    <w:rsid w:val="004019EC"/>
    <w:rsid w:val="00403D68"/>
    <w:rsid w:val="0040478D"/>
    <w:rsid w:val="00414D5F"/>
    <w:rsid w:val="00417585"/>
    <w:rsid w:val="00420AC3"/>
    <w:rsid w:val="00424ED9"/>
    <w:rsid w:val="00431108"/>
    <w:rsid w:val="0043111D"/>
    <w:rsid w:val="004357CF"/>
    <w:rsid w:val="00435EB3"/>
    <w:rsid w:val="0043676D"/>
    <w:rsid w:val="00440C76"/>
    <w:rsid w:val="004426D5"/>
    <w:rsid w:val="00446462"/>
    <w:rsid w:val="00447819"/>
    <w:rsid w:val="004521FC"/>
    <w:rsid w:val="00453E8B"/>
    <w:rsid w:val="004557EF"/>
    <w:rsid w:val="00460E23"/>
    <w:rsid w:val="00460F51"/>
    <w:rsid w:val="00465C2F"/>
    <w:rsid w:val="00471491"/>
    <w:rsid w:val="00475E2C"/>
    <w:rsid w:val="0048124A"/>
    <w:rsid w:val="00483F55"/>
    <w:rsid w:val="0048635A"/>
    <w:rsid w:val="004905D8"/>
    <w:rsid w:val="0049325A"/>
    <w:rsid w:val="00494FAB"/>
    <w:rsid w:val="004A6F37"/>
    <w:rsid w:val="004B5E17"/>
    <w:rsid w:val="004B6DF3"/>
    <w:rsid w:val="004C26DF"/>
    <w:rsid w:val="004C6D7C"/>
    <w:rsid w:val="004D0783"/>
    <w:rsid w:val="004D0A00"/>
    <w:rsid w:val="004D2E36"/>
    <w:rsid w:val="004D67EF"/>
    <w:rsid w:val="004D7D7F"/>
    <w:rsid w:val="004E0E0C"/>
    <w:rsid w:val="004E2779"/>
    <w:rsid w:val="004E3440"/>
    <w:rsid w:val="004E3FEA"/>
    <w:rsid w:val="004E65F4"/>
    <w:rsid w:val="004F41EA"/>
    <w:rsid w:val="004F7FDB"/>
    <w:rsid w:val="00507A9D"/>
    <w:rsid w:val="00510C17"/>
    <w:rsid w:val="00510CC5"/>
    <w:rsid w:val="00512314"/>
    <w:rsid w:val="0051262F"/>
    <w:rsid w:val="00514DDF"/>
    <w:rsid w:val="00521A0E"/>
    <w:rsid w:val="00522DA6"/>
    <w:rsid w:val="00522E5E"/>
    <w:rsid w:val="00524E21"/>
    <w:rsid w:val="00527C8C"/>
    <w:rsid w:val="0053180B"/>
    <w:rsid w:val="005361CF"/>
    <w:rsid w:val="00536CB8"/>
    <w:rsid w:val="0054095C"/>
    <w:rsid w:val="00544838"/>
    <w:rsid w:val="00550C89"/>
    <w:rsid w:val="00551224"/>
    <w:rsid w:val="00554769"/>
    <w:rsid w:val="00554AC4"/>
    <w:rsid w:val="00555BB6"/>
    <w:rsid w:val="0055619A"/>
    <w:rsid w:val="005565BC"/>
    <w:rsid w:val="00557B16"/>
    <w:rsid w:val="00560DE5"/>
    <w:rsid w:val="00570B77"/>
    <w:rsid w:val="0057421A"/>
    <w:rsid w:val="00576C24"/>
    <w:rsid w:val="00580A17"/>
    <w:rsid w:val="005813A4"/>
    <w:rsid w:val="00585D06"/>
    <w:rsid w:val="00585DE4"/>
    <w:rsid w:val="00590375"/>
    <w:rsid w:val="00590857"/>
    <w:rsid w:val="005938CF"/>
    <w:rsid w:val="00594135"/>
    <w:rsid w:val="005A2FBD"/>
    <w:rsid w:val="005A44D4"/>
    <w:rsid w:val="005A588A"/>
    <w:rsid w:val="005B1FA4"/>
    <w:rsid w:val="005B217A"/>
    <w:rsid w:val="005B43F4"/>
    <w:rsid w:val="005B5183"/>
    <w:rsid w:val="005C0065"/>
    <w:rsid w:val="005C0903"/>
    <w:rsid w:val="005C094F"/>
    <w:rsid w:val="005C31B3"/>
    <w:rsid w:val="005C3A02"/>
    <w:rsid w:val="005C5AB5"/>
    <w:rsid w:val="005C6D82"/>
    <w:rsid w:val="005F5F38"/>
    <w:rsid w:val="005F6959"/>
    <w:rsid w:val="00611EF5"/>
    <w:rsid w:val="0061432D"/>
    <w:rsid w:val="006150FA"/>
    <w:rsid w:val="00616201"/>
    <w:rsid w:val="006265A7"/>
    <w:rsid w:val="00630D22"/>
    <w:rsid w:val="00631247"/>
    <w:rsid w:val="006312C7"/>
    <w:rsid w:val="006363F2"/>
    <w:rsid w:val="00636523"/>
    <w:rsid w:val="0064192A"/>
    <w:rsid w:val="00642E99"/>
    <w:rsid w:val="006437B3"/>
    <w:rsid w:val="00645BB4"/>
    <w:rsid w:val="006465FF"/>
    <w:rsid w:val="0065426D"/>
    <w:rsid w:val="00654616"/>
    <w:rsid w:val="00654E17"/>
    <w:rsid w:val="00660AC7"/>
    <w:rsid w:val="00661346"/>
    <w:rsid w:val="00661B0B"/>
    <w:rsid w:val="00663185"/>
    <w:rsid w:val="00664D0E"/>
    <w:rsid w:val="006671D7"/>
    <w:rsid w:val="00667D40"/>
    <w:rsid w:val="00670E95"/>
    <w:rsid w:val="006710F9"/>
    <w:rsid w:val="00672710"/>
    <w:rsid w:val="00672E2F"/>
    <w:rsid w:val="006764E6"/>
    <w:rsid w:val="00697956"/>
    <w:rsid w:val="006A3954"/>
    <w:rsid w:val="006A57E8"/>
    <w:rsid w:val="006B6CB1"/>
    <w:rsid w:val="006B7C68"/>
    <w:rsid w:val="006D5321"/>
    <w:rsid w:val="006D567F"/>
    <w:rsid w:val="006D626A"/>
    <w:rsid w:val="006E0792"/>
    <w:rsid w:val="006E185E"/>
    <w:rsid w:val="006E2200"/>
    <w:rsid w:val="006F060A"/>
    <w:rsid w:val="006F3AC9"/>
    <w:rsid w:val="006F5F7A"/>
    <w:rsid w:val="006F6A60"/>
    <w:rsid w:val="006F71AD"/>
    <w:rsid w:val="00700B39"/>
    <w:rsid w:val="007017ED"/>
    <w:rsid w:val="00710A4D"/>
    <w:rsid w:val="00710DE0"/>
    <w:rsid w:val="007122FB"/>
    <w:rsid w:val="00713554"/>
    <w:rsid w:val="00714161"/>
    <w:rsid w:val="00731D73"/>
    <w:rsid w:val="007369FC"/>
    <w:rsid w:val="00737028"/>
    <w:rsid w:val="007403EE"/>
    <w:rsid w:val="007407C0"/>
    <w:rsid w:val="00740B56"/>
    <w:rsid w:val="0075354F"/>
    <w:rsid w:val="00760FB5"/>
    <w:rsid w:val="007678FF"/>
    <w:rsid w:val="00771AF8"/>
    <w:rsid w:val="00775E5C"/>
    <w:rsid w:val="00785768"/>
    <w:rsid w:val="0078791E"/>
    <w:rsid w:val="007916E7"/>
    <w:rsid w:val="007925E8"/>
    <w:rsid w:val="00793347"/>
    <w:rsid w:val="00795B51"/>
    <w:rsid w:val="007A1ED7"/>
    <w:rsid w:val="007A6510"/>
    <w:rsid w:val="007B10EF"/>
    <w:rsid w:val="007B51CD"/>
    <w:rsid w:val="007B5341"/>
    <w:rsid w:val="007C17A0"/>
    <w:rsid w:val="007C1C2C"/>
    <w:rsid w:val="007C24E0"/>
    <w:rsid w:val="007C76DE"/>
    <w:rsid w:val="007D25A3"/>
    <w:rsid w:val="007D3826"/>
    <w:rsid w:val="007D705B"/>
    <w:rsid w:val="007E3A18"/>
    <w:rsid w:val="007E59E2"/>
    <w:rsid w:val="007E6A5C"/>
    <w:rsid w:val="007F16EA"/>
    <w:rsid w:val="007F3C6F"/>
    <w:rsid w:val="007F6622"/>
    <w:rsid w:val="007F7C6D"/>
    <w:rsid w:val="00802D88"/>
    <w:rsid w:val="0080407A"/>
    <w:rsid w:val="00805465"/>
    <w:rsid w:val="008064C0"/>
    <w:rsid w:val="008070CD"/>
    <w:rsid w:val="008114D6"/>
    <w:rsid w:val="008148B6"/>
    <w:rsid w:val="008156D8"/>
    <w:rsid w:val="00816F75"/>
    <w:rsid w:val="00823C89"/>
    <w:rsid w:val="008272BA"/>
    <w:rsid w:val="00827C69"/>
    <w:rsid w:val="008329E3"/>
    <w:rsid w:val="00834B23"/>
    <w:rsid w:val="008372CC"/>
    <w:rsid w:val="00844269"/>
    <w:rsid w:val="00852F63"/>
    <w:rsid w:val="0085601D"/>
    <w:rsid w:val="00861D4F"/>
    <w:rsid w:val="008639EC"/>
    <w:rsid w:val="0086522F"/>
    <w:rsid w:val="008702D0"/>
    <w:rsid w:val="00870CD5"/>
    <w:rsid w:val="008738A3"/>
    <w:rsid w:val="0087621F"/>
    <w:rsid w:val="0088236D"/>
    <w:rsid w:val="00883241"/>
    <w:rsid w:val="00885D97"/>
    <w:rsid w:val="008878F0"/>
    <w:rsid w:val="0089419B"/>
    <w:rsid w:val="00896038"/>
    <w:rsid w:val="008A3855"/>
    <w:rsid w:val="008A6679"/>
    <w:rsid w:val="008A7553"/>
    <w:rsid w:val="008B33EE"/>
    <w:rsid w:val="008B614E"/>
    <w:rsid w:val="008C19B6"/>
    <w:rsid w:val="008D051C"/>
    <w:rsid w:val="008D10FE"/>
    <w:rsid w:val="008D6C06"/>
    <w:rsid w:val="008D76BA"/>
    <w:rsid w:val="008E0ACA"/>
    <w:rsid w:val="008E599C"/>
    <w:rsid w:val="008E796B"/>
    <w:rsid w:val="008F0165"/>
    <w:rsid w:val="008F3A55"/>
    <w:rsid w:val="008F70C4"/>
    <w:rsid w:val="009020A1"/>
    <w:rsid w:val="009064D7"/>
    <w:rsid w:val="00906754"/>
    <w:rsid w:val="0091157B"/>
    <w:rsid w:val="009115F6"/>
    <w:rsid w:val="00917C65"/>
    <w:rsid w:val="0092399E"/>
    <w:rsid w:val="00925678"/>
    <w:rsid w:val="009310E3"/>
    <w:rsid w:val="00931E00"/>
    <w:rsid w:val="00945390"/>
    <w:rsid w:val="00947E4C"/>
    <w:rsid w:val="00952259"/>
    <w:rsid w:val="009558AD"/>
    <w:rsid w:val="009568DA"/>
    <w:rsid w:val="00960AA5"/>
    <w:rsid w:val="009630B9"/>
    <w:rsid w:val="00964EF2"/>
    <w:rsid w:val="00964F43"/>
    <w:rsid w:val="00966365"/>
    <w:rsid w:val="009664CA"/>
    <w:rsid w:val="00967BDD"/>
    <w:rsid w:val="00970A2A"/>
    <w:rsid w:val="009722EC"/>
    <w:rsid w:val="0097422C"/>
    <w:rsid w:val="0097481F"/>
    <w:rsid w:val="009758F2"/>
    <w:rsid w:val="009759A1"/>
    <w:rsid w:val="009818C2"/>
    <w:rsid w:val="00984F3F"/>
    <w:rsid w:val="009869D0"/>
    <w:rsid w:val="00986A00"/>
    <w:rsid w:val="00991E54"/>
    <w:rsid w:val="009A5B10"/>
    <w:rsid w:val="009A5C0C"/>
    <w:rsid w:val="009A6463"/>
    <w:rsid w:val="009B0E94"/>
    <w:rsid w:val="009B1594"/>
    <w:rsid w:val="009B7A61"/>
    <w:rsid w:val="009C18B0"/>
    <w:rsid w:val="009C22E6"/>
    <w:rsid w:val="009D0969"/>
    <w:rsid w:val="009D4A3C"/>
    <w:rsid w:val="009D5B33"/>
    <w:rsid w:val="009D5C91"/>
    <w:rsid w:val="009D6416"/>
    <w:rsid w:val="009D70B5"/>
    <w:rsid w:val="009E004E"/>
    <w:rsid w:val="009E0293"/>
    <w:rsid w:val="009E3131"/>
    <w:rsid w:val="009E4673"/>
    <w:rsid w:val="009E5CAF"/>
    <w:rsid w:val="009E5D00"/>
    <w:rsid w:val="009F334B"/>
    <w:rsid w:val="009F462B"/>
    <w:rsid w:val="009F4936"/>
    <w:rsid w:val="009F5065"/>
    <w:rsid w:val="009F67DD"/>
    <w:rsid w:val="009F6954"/>
    <w:rsid w:val="009F6D85"/>
    <w:rsid w:val="009F6E8B"/>
    <w:rsid w:val="00A002E1"/>
    <w:rsid w:val="00A0076F"/>
    <w:rsid w:val="00A041AF"/>
    <w:rsid w:val="00A04285"/>
    <w:rsid w:val="00A13D64"/>
    <w:rsid w:val="00A2389B"/>
    <w:rsid w:val="00A249E0"/>
    <w:rsid w:val="00A27FDA"/>
    <w:rsid w:val="00A35937"/>
    <w:rsid w:val="00A37D1F"/>
    <w:rsid w:val="00A430E1"/>
    <w:rsid w:val="00A43AB0"/>
    <w:rsid w:val="00A43DA5"/>
    <w:rsid w:val="00A43EEF"/>
    <w:rsid w:val="00A4448C"/>
    <w:rsid w:val="00A52F9F"/>
    <w:rsid w:val="00A6153F"/>
    <w:rsid w:val="00A61A83"/>
    <w:rsid w:val="00A70B19"/>
    <w:rsid w:val="00A72D6B"/>
    <w:rsid w:val="00A80C95"/>
    <w:rsid w:val="00A83B35"/>
    <w:rsid w:val="00A846C1"/>
    <w:rsid w:val="00A90671"/>
    <w:rsid w:val="00A91572"/>
    <w:rsid w:val="00A93C6C"/>
    <w:rsid w:val="00A968D9"/>
    <w:rsid w:val="00AA1675"/>
    <w:rsid w:val="00AA339F"/>
    <w:rsid w:val="00AA7492"/>
    <w:rsid w:val="00AB4F52"/>
    <w:rsid w:val="00AC1BB0"/>
    <w:rsid w:val="00AC52CB"/>
    <w:rsid w:val="00AC66C0"/>
    <w:rsid w:val="00AD053A"/>
    <w:rsid w:val="00AD099D"/>
    <w:rsid w:val="00AD3136"/>
    <w:rsid w:val="00AD3B9C"/>
    <w:rsid w:val="00AE0262"/>
    <w:rsid w:val="00AE0970"/>
    <w:rsid w:val="00AE1175"/>
    <w:rsid w:val="00AE47BE"/>
    <w:rsid w:val="00AE6D3A"/>
    <w:rsid w:val="00AF1200"/>
    <w:rsid w:val="00AF1726"/>
    <w:rsid w:val="00B000D3"/>
    <w:rsid w:val="00B01178"/>
    <w:rsid w:val="00B01AEA"/>
    <w:rsid w:val="00B0755D"/>
    <w:rsid w:val="00B13C58"/>
    <w:rsid w:val="00B174B2"/>
    <w:rsid w:val="00B2016E"/>
    <w:rsid w:val="00B20347"/>
    <w:rsid w:val="00B2364B"/>
    <w:rsid w:val="00B23B19"/>
    <w:rsid w:val="00B24274"/>
    <w:rsid w:val="00B31765"/>
    <w:rsid w:val="00B40F44"/>
    <w:rsid w:val="00B41460"/>
    <w:rsid w:val="00B461D2"/>
    <w:rsid w:val="00B55A4D"/>
    <w:rsid w:val="00B57196"/>
    <w:rsid w:val="00B65F6F"/>
    <w:rsid w:val="00B74086"/>
    <w:rsid w:val="00B7581A"/>
    <w:rsid w:val="00B759D3"/>
    <w:rsid w:val="00B810A5"/>
    <w:rsid w:val="00B81731"/>
    <w:rsid w:val="00B82879"/>
    <w:rsid w:val="00B82A93"/>
    <w:rsid w:val="00B82CE9"/>
    <w:rsid w:val="00B83E1A"/>
    <w:rsid w:val="00B84527"/>
    <w:rsid w:val="00B84E07"/>
    <w:rsid w:val="00B87B17"/>
    <w:rsid w:val="00B904D9"/>
    <w:rsid w:val="00B9249C"/>
    <w:rsid w:val="00BA287D"/>
    <w:rsid w:val="00BA439B"/>
    <w:rsid w:val="00BA5AD6"/>
    <w:rsid w:val="00BA79E7"/>
    <w:rsid w:val="00BA7F55"/>
    <w:rsid w:val="00BB1386"/>
    <w:rsid w:val="00BB1C82"/>
    <w:rsid w:val="00BC1535"/>
    <w:rsid w:val="00BD12B2"/>
    <w:rsid w:val="00BE45ED"/>
    <w:rsid w:val="00BF3082"/>
    <w:rsid w:val="00BF3995"/>
    <w:rsid w:val="00BF47F7"/>
    <w:rsid w:val="00BF571A"/>
    <w:rsid w:val="00C002E9"/>
    <w:rsid w:val="00C015BD"/>
    <w:rsid w:val="00C043D4"/>
    <w:rsid w:val="00C0628F"/>
    <w:rsid w:val="00C07F9A"/>
    <w:rsid w:val="00C10ABB"/>
    <w:rsid w:val="00C1246F"/>
    <w:rsid w:val="00C13F9B"/>
    <w:rsid w:val="00C15E19"/>
    <w:rsid w:val="00C25D8C"/>
    <w:rsid w:val="00C26BC3"/>
    <w:rsid w:val="00C3015F"/>
    <w:rsid w:val="00C33578"/>
    <w:rsid w:val="00C35E45"/>
    <w:rsid w:val="00C375E1"/>
    <w:rsid w:val="00C4153A"/>
    <w:rsid w:val="00C41D9D"/>
    <w:rsid w:val="00C422FE"/>
    <w:rsid w:val="00C44058"/>
    <w:rsid w:val="00C44834"/>
    <w:rsid w:val="00C55F73"/>
    <w:rsid w:val="00C57B5F"/>
    <w:rsid w:val="00C62400"/>
    <w:rsid w:val="00C628B1"/>
    <w:rsid w:val="00C637D4"/>
    <w:rsid w:val="00C672A1"/>
    <w:rsid w:val="00C702C7"/>
    <w:rsid w:val="00C712BA"/>
    <w:rsid w:val="00C77FCF"/>
    <w:rsid w:val="00C836B7"/>
    <w:rsid w:val="00C87667"/>
    <w:rsid w:val="00CA11E2"/>
    <w:rsid w:val="00CA16D1"/>
    <w:rsid w:val="00CA21A5"/>
    <w:rsid w:val="00CA253D"/>
    <w:rsid w:val="00CA5D0F"/>
    <w:rsid w:val="00CB1CFA"/>
    <w:rsid w:val="00CB3C1E"/>
    <w:rsid w:val="00CB66E2"/>
    <w:rsid w:val="00CC240B"/>
    <w:rsid w:val="00CC4385"/>
    <w:rsid w:val="00CD0094"/>
    <w:rsid w:val="00CD27A0"/>
    <w:rsid w:val="00CE47B7"/>
    <w:rsid w:val="00CF1542"/>
    <w:rsid w:val="00CF20B7"/>
    <w:rsid w:val="00CF2E7F"/>
    <w:rsid w:val="00CF3E4C"/>
    <w:rsid w:val="00CF47F2"/>
    <w:rsid w:val="00CF518A"/>
    <w:rsid w:val="00D0070B"/>
    <w:rsid w:val="00D06C3B"/>
    <w:rsid w:val="00D16F6B"/>
    <w:rsid w:val="00D20251"/>
    <w:rsid w:val="00D2283C"/>
    <w:rsid w:val="00D22D92"/>
    <w:rsid w:val="00D25D76"/>
    <w:rsid w:val="00D31CD5"/>
    <w:rsid w:val="00D323D2"/>
    <w:rsid w:val="00D323E1"/>
    <w:rsid w:val="00D365D8"/>
    <w:rsid w:val="00D450E8"/>
    <w:rsid w:val="00D55D97"/>
    <w:rsid w:val="00D56184"/>
    <w:rsid w:val="00D65510"/>
    <w:rsid w:val="00D6676C"/>
    <w:rsid w:val="00D670E0"/>
    <w:rsid w:val="00D77874"/>
    <w:rsid w:val="00D8011F"/>
    <w:rsid w:val="00D84061"/>
    <w:rsid w:val="00D8446B"/>
    <w:rsid w:val="00D916E4"/>
    <w:rsid w:val="00D95A9A"/>
    <w:rsid w:val="00D9726C"/>
    <w:rsid w:val="00DA2036"/>
    <w:rsid w:val="00DA2FBE"/>
    <w:rsid w:val="00DA4616"/>
    <w:rsid w:val="00DA46F4"/>
    <w:rsid w:val="00DA7EB2"/>
    <w:rsid w:val="00DB3B11"/>
    <w:rsid w:val="00DB5CD3"/>
    <w:rsid w:val="00DB69DA"/>
    <w:rsid w:val="00DC13A9"/>
    <w:rsid w:val="00DD1501"/>
    <w:rsid w:val="00DD160C"/>
    <w:rsid w:val="00DE7900"/>
    <w:rsid w:val="00DF51C1"/>
    <w:rsid w:val="00DF6AD0"/>
    <w:rsid w:val="00E04245"/>
    <w:rsid w:val="00E07780"/>
    <w:rsid w:val="00E170EB"/>
    <w:rsid w:val="00E31AD2"/>
    <w:rsid w:val="00E34483"/>
    <w:rsid w:val="00E3728A"/>
    <w:rsid w:val="00E37828"/>
    <w:rsid w:val="00E44CD2"/>
    <w:rsid w:val="00E451EE"/>
    <w:rsid w:val="00E45425"/>
    <w:rsid w:val="00E47175"/>
    <w:rsid w:val="00E472B3"/>
    <w:rsid w:val="00E500C8"/>
    <w:rsid w:val="00E52F55"/>
    <w:rsid w:val="00E57E9B"/>
    <w:rsid w:val="00E62309"/>
    <w:rsid w:val="00E62FF7"/>
    <w:rsid w:val="00E65AE3"/>
    <w:rsid w:val="00E7059A"/>
    <w:rsid w:val="00E73AAA"/>
    <w:rsid w:val="00E7655A"/>
    <w:rsid w:val="00E76D61"/>
    <w:rsid w:val="00E91A17"/>
    <w:rsid w:val="00E94D09"/>
    <w:rsid w:val="00EA1533"/>
    <w:rsid w:val="00EA2D09"/>
    <w:rsid w:val="00EA343B"/>
    <w:rsid w:val="00EB1061"/>
    <w:rsid w:val="00EB1A02"/>
    <w:rsid w:val="00EB4BCF"/>
    <w:rsid w:val="00EB4FEC"/>
    <w:rsid w:val="00EB7786"/>
    <w:rsid w:val="00EC0B90"/>
    <w:rsid w:val="00EC7D69"/>
    <w:rsid w:val="00ED0974"/>
    <w:rsid w:val="00ED30E5"/>
    <w:rsid w:val="00ED4ABE"/>
    <w:rsid w:val="00ED5555"/>
    <w:rsid w:val="00ED6758"/>
    <w:rsid w:val="00ED6EF9"/>
    <w:rsid w:val="00EE5721"/>
    <w:rsid w:val="00EE5A77"/>
    <w:rsid w:val="00EF0092"/>
    <w:rsid w:val="00EF27B8"/>
    <w:rsid w:val="00EF7B88"/>
    <w:rsid w:val="00F01654"/>
    <w:rsid w:val="00F031F3"/>
    <w:rsid w:val="00F04216"/>
    <w:rsid w:val="00F055B6"/>
    <w:rsid w:val="00F06AEF"/>
    <w:rsid w:val="00F162EC"/>
    <w:rsid w:val="00F22DE7"/>
    <w:rsid w:val="00F24FC9"/>
    <w:rsid w:val="00F26BF7"/>
    <w:rsid w:val="00F31332"/>
    <w:rsid w:val="00F31CA7"/>
    <w:rsid w:val="00F31D93"/>
    <w:rsid w:val="00F31F95"/>
    <w:rsid w:val="00F3677A"/>
    <w:rsid w:val="00F4044A"/>
    <w:rsid w:val="00F419CD"/>
    <w:rsid w:val="00F41C90"/>
    <w:rsid w:val="00F44389"/>
    <w:rsid w:val="00F4694F"/>
    <w:rsid w:val="00F60087"/>
    <w:rsid w:val="00F62792"/>
    <w:rsid w:val="00F7423C"/>
    <w:rsid w:val="00F755C4"/>
    <w:rsid w:val="00F83875"/>
    <w:rsid w:val="00F86BCB"/>
    <w:rsid w:val="00F95516"/>
    <w:rsid w:val="00F9645B"/>
    <w:rsid w:val="00F97B2C"/>
    <w:rsid w:val="00FA3B67"/>
    <w:rsid w:val="00FA540C"/>
    <w:rsid w:val="00FB62A6"/>
    <w:rsid w:val="00FC3BE4"/>
    <w:rsid w:val="00FD4FA5"/>
    <w:rsid w:val="00FD6043"/>
    <w:rsid w:val="00FE2E5F"/>
    <w:rsid w:val="00FE3F1A"/>
    <w:rsid w:val="00FF13E9"/>
    <w:rsid w:val="00FF21B3"/>
    <w:rsid w:val="00FF4A2F"/>
    <w:rsid w:val="08D874E5"/>
    <w:rsid w:val="10B14846"/>
    <w:rsid w:val="11A73E17"/>
    <w:rsid w:val="39E22AE7"/>
    <w:rsid w:val="48340C07"/>
    <w:rsid w:val="4A1E076C"/>
    <w:rsid w:val="4B4F6F23"/>
    <w:rsid w:val="4B8F64AC"/>
    <w:rsid w:val="4F4F5C5C"/>
    <w:rsid w:val="564E297E"/>
    <w:rsid w:val="5EEA557B"/>
    <w:rsid w:val="63B45DF5"/>
    <w:rsid w:val="678B1ADC"/>
    <w:rsid w:val="68157DCA"/>
    <w:rsid w:val="6A5940F7"/>
    <w:rsid w:val="7FF3B180"/>
    <w:rsid w:val="EFAFCE5B"/>
    <w:rsid w:val="F97B3FC6"/>
    <w:rsid w:val="FFDE24B1"/>
    <w:rsid w:val="FFFF4D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semiHidden="0" w:name="toc 1" w:locked="1"/>
    <w:lsdException w:uiPriority="0" w:semiHidden="0" w:name="toc 2" w:locked="1"/>
    <w:lsdException w:uiPriority="0"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0" w:semiHidden="0"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20" w:semiHidden="0" w:name="Emphasis" w:locked="1"/>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9"/>
    <w:pPr>
      <w:tabs>
        <w:tab w:val="left" w:pos="720"/>
      </w:tabs>
      <w:adjustRightInd w:val="0"/>
      <w:snapToGrid w:val="0"/>
      <w:spacing w:beforeLines="100" w:afterLines="100"/>
      <w:ind w:firstLine="627" w:firstLineChars="196"/>
      <w:outlineLvl w:val="0"/>
    </w:pPr>
    <w:rPr>
      <w:rFonts w:ascii="黑体" w:hAnsi="黑体" w:eastAsia="黑体"/>
      <w:color w:val="000000"/>
      <w:sz w:val="32"/>
      <w:szCs w:val="32"/>
    </w:rPr>
  </w:style>
  <w:style w:type="paragraph" w:styleId="3">
    <w:name w:val="heading 2"/>
    <w:basedOn w:val="1"/>
    <w:next w:val="1"/>
    <w:link w:val="20"/>
    <w:qFormat/>
    <w:uiPriority w:val="99"/>
    <w:pPr>
      <w:adjustRightInd w:val="0"/>
      <w:snapToGrid w:val="0"/>
      <w:spacing w:beforeLines="50" w:afterLines="50"/>
      <w:ind w:firstLine="560" w:firstLineChars="200"/>
      <w:outlineLvl w:val="1"/>
    </w:pPr>
    <w:rPr>
      <w:rFonts w:ascii="黑体" w:hAnsi="黑体" w:eastAsia="黑体"/>
      <w:color w:val="000000"/>
      <w:sz w:val="28"/>
      <w:szCs w:val="28"/>
    </w:rPr>
  </w:style>
  <w:style w:type="paragraph" w:styleId="4">
    <w:name w:val="heading 3"/>
    <w:basedOn w:val="1"/>
    <w:next w:val="1"/>
    <w:link w:val="21"/>
    <w:qFormat/>
    <w:uiPriority w:val="99"/>
    <w:pPr>
      <w:autoSpaceDE w:val="0"/>
      <w:autoSpaceDN w:val="0"/>
      <w:adjustRightInd w:val="0"/>
      <w:spacing w:line="360" w:lineRule="auto"/>
      <w:ind w:firstLine="516" w:firstLineChars="214"/>
      <w:outlineLvl w:val="2"/>
    </w:pPr>
    <w:rPr>
      <w:rFonts w:ascii="宋体" w:hAnsi="宋体" w:cs="仿宋_GB2312"/>
      <w:b/>
      <w:bCs/>
      <w:sz w:val="24"/>
      <w:szCs w:val="24"/>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qFormat/>
    <w:uiPriority w:val="0"/>
    <w:pPr>
      <w:jc w:val="left"/>
    </w:pPr>
    <w:rPr>
      <w:kern w:val="0"/>
      <w:sz w:val="24"/>
      <w:szCs w:val="20"/>
    </w:rPr>
  </w:style>
  <w:style w:type="paragraph" w:styleId="6">
    <w:name w:val="Plain Text"/>
    <w:basedOn w:val="1"/>
    <w:link w:val="31"/>
    <w:qFormat/>
    <w:uiPriority w:val="0"/>
    <w:rPr>
      <w:rFonts w:ascii="宋体" w:hAnsi="Courier New" w:cs="Courier New"/>
      <w:iCs/>
      <w:color w:val="000000"/>
      <w:szCs w:val="21"/>
    </w:rPr>
  </w:style>
  <w:style w:type="paragraph" w:styleId="7">
    <w:name w:val="Balloon Text"/>
    <w:basedOn w:val="1"/>
    <w:link w:val="26"/>
    <w:semiHidden/>
    <w:qFormat/>
    <w:uiPriority w:val="99"/>
    <w:rPr>
      <w:sz w:val="18"/>
      <w:szCs w:val="18"/>
    </w:rPr>
  </w:style>
  <w:style w:type="paragraph" w:styleId="8">
    <w:name w:val="footer"/>
    <w:basedOn w:val="1"/>
    <w:link w:val="28"/>
    <w:qFormat/>
    <w:uiPriority w:val="99"/>
    <w:pPr>
      <w:tabs>
        <w:tab w:val="center" w:pos="4153"/>
        <w:tab w:val="right" w:pos="8306"/>
      </w:tabs>
      <w:snapToGrid w:val="0"/>
      <w:jc w:val="left"/>
    </w:pPr>
    <w:rPr>
      <w:sz w:val="18"/>
      <w:szCs w:val="18"/>
    </w:rPr>
  </w:style>
  <w:style w:type="paragraph" w:styleId="9">
    <w:name w:val="header"/>
    <w:basedOn w:val="1"/>
    <w:link w:val="29"/>
    <w:semiHidden/>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1">
    <w:name w:val="annotation subject"/>
    <w:basedOn w:val="5"/>
    <w:next w:val="5"/>
    <w:link w:val="27"/>
    <w:semiHidden/>
    <w:qFormat/>
    <w:uiPriority w:val="99"/>
    <w:rPr>
      <w:b/>
      <w:bCs/>
      <w:szCs w:val="22"/>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semiHidden/>
    <w:unhideWhenUsed/>
    <w:qFormat/>
    <w:uiPriority w:val="99"/>
    <w:rPr>
      <w:color w:val="800080"/>
      <w:u w:val="single"/>
    </w:rPr>
  </w:style>
  <w:style w:type="character" w:styleId="16">
    <w:name w:val="Emphasis"/>
    <w:basedOn w:val="14"/>
    <w:qFormat/>
    <w:locked/>
    <w:uiPriority w:val="20"/>
    <w:rPr>
      <w:i/>
      <w:iCs/>
    </w:rPr>
  </w:style>
  <w:style w:type="character" w:styleId="17">
    <w:name w:val="Hyperlink"/>
    <w:basedOn w:val="14"/>
    <w:qFormat/>
    <w:uiPriority w:val="99"/>
    <w:rPr>
      <w:rFonts w:cs="Times New Roman"/>
      <w:color w:val="0000FF"/>
      <w:u w:val="single"/>
    </w:rPr>
  </w:style>
  <w:style w:type="character" w:styleId="18">
    <w:name w:val="annotation reference"/>
    <w:basedOn w:val="14"/>
    <w:qFormat/>
    <w:uiPriority w:val="0"/>
    <w:rPr>
      <w:rFonts w:cs="Times New Roman"/>
      <w:sz w:val="21"/>
    </w:rPr>
  </w:style>
  <w:style w:type="character" w:customStyle="1" w:styleId="19">
    <w:name w:val="标题 1 字符"/>
    <w:basedOn w:val="14"/>
    <w:link w:val="2"/>
    <w:qFormat/>
    <w:locked/>
    <w:uiPriority w:val="99"/>
    <w:rPr>
      <w:rFonts w:ascii="黑体" w:hAnsi="黑体" w:eastAsia="黑体" w:cs="Times New Roman"/>
      <w:color w:val="000000"/>
      <w:sz w:val="32"/>
      <w:szCs w:val="32"/>
    </w:rPr>
  </w:style>
  <w:style w:type="character" w:customStyle="1" w:styleId="20">
    <w:name w:val="标题 2 字符"/>
    <w:basedOn w:val="14"/>
    <w:link w:val="3"/>
    <w:qFormat/>
    <w:locked/>
    <w:uiPriority w:val="99"/>
    <w:rPr>
      <w:rFonts w:ascii="黑体" w:hAnsi="黑体" w:eastAsia="黑体" w:cs="Times New Roman"/>
      <w:color w:val="000000"/>
      <w:sz w:val="28"/>
      <w:szCs w:val="28"/>
    </w:rPr>
  </w:style>
  <w:style w:type="character" w:customStyle="1" w:styleId="21">
    <w:name w:val="标题 3 字符"/>
    <w:basedOn w:val="14"/>
    <w:link w:val="4"/>
    <w:qFormat/>
    <w:locked/>
    <w:uiPriority w:val="99"/>
    <w:rPr>
      <w:rFonts w:ascii="宋体" w:eastAsia="宋体" w:cs="仿宋_GB2312"/>
      <w:b/>
      <w:bCs/>
      <w:sz w:val="24"/>
      <w:szCs w:val="24"/>
    </w:rPr>
  </w:style>
  <w:style w:type="character" w:customStyle="1" w:styleId="22">
    <w:name w:val="Comment Text Char"/>
    <w:qFormat/>
    <w:locked/>
    <w:uiPriority w:val="99"/>
    <w:rPr>
      <w:rFonts w:eastAsia="宋体"/>
      <w:sz w:val="24"/>
    </w:rPr>
  </w:style>
  <w:style w:type="character" w:customStyle="1" w:styleId="23">
    <w:name w:val="批注文字 字符"/>
    <w:basedOn w:val="14"/>
    <w:link w:val="5"/>
    <w:qFormat/>
    <w:locked/>
    <w:uiPriority w:val="0"/>
    <w:rPr>
      <w:rFonts w:cs="Times New Roman"/>
    </w:rPr>
  </w:style>
  <w:style w:type="character" w:customStyle="1" w:styleId="24">
    <w:name w:val="批注文字 Char1"/>
    <w:basedOn w:val="14"/>
    <w:semiHidden/>
    <w:qFormat/>
    <w:uiPriority w:val="99"/>
    <w:rPr>
      <w:rFonts w:cs="Times New Roman"/>
    </w:rPr>
  </w:style>
  <w:style w:type="paragraph" w:customStyle="1" w:styleId="25">
    <w:name w:val="Char Char Char Char"/>
    <w:basedOn w:val="1"/>
    <w:qFormat/>
    <w:uiPriority w:val="99"/>
    <w:pPr>
      <w:widowControl/>
      <w:spacing w:after="160" w:line="240" w:lineRule="exact"/>
      <w:jc w:val="left"/>
    </w:pPr>
    <w:rPr>
      <w:rFonts w:ascii="Times New Roman" w:hAnsi="Times New Roman"/>
      <w:szCs w:val="24"/>
    </w:rPr>
  </w:style>
  <w:style w:type="character" w:customStyle="1" w:styleId="26">
    <w:name w:val="批注框文本 字符"/>
    <w:basedOn w:val="14"/>
    <w:link w:val="7"/>
    <w:semiHidden/>
    <w:qFormat/>
    <w:locked/>
    <w:uiPriority w:val="99"/>
    <w:rPr>
      <w:rFonts w:cs="Times New Roman"/>
      <w:sz w:val="18"/>
      <w:szCs w:val="18"/>
    </w:rPr>
  </w:style>
  <w:style w:type="character" w:customStyle="1" w:styleId="27">
    <w:name w:val="批注主题 字符"/>
    <w:basedOn w:val="22"/>
    <w:link w:val="11"/>
    <w:semiHidden/>
    <w:qFormat/>
    <w:locked/>
    <w:uiPriority w:val="99"/>
    <w:rPr>
      <w:rFonts w:eastAsia="宋体" w:cs="Times New Roman"/>
      <w:b/>
      <w:bCs/>
      <w:sz w:val="24"/>
      <w:szCs w:val="24"/>
    </w:rPr>
  </w:style>
  <w:style w:type="character" w:customStyle="1" w:styleId="28">
    <w:name w:val="页脚 字符"/>
    <w:basedOn w:val="14"/>
    <w:link w:val="8"/>
    <w:qFormat/>
    <w:locked/>
    <w:uiPriority w:val="99"/>
    <w:rPr>
      <w:rFonts w:cs="Times New Roman"/>
      <w:sz w:val="18"/>
      <w:szCs w:val="18"/>
    </w:rPr>
  </w:style>
  <w:style w:type="character" w:customStyle="1" w:styleId="29">
    <w:name w:val="页眉 字符"/>
    <w:basedOn w:val="14"/>
    <w:link w:val="9"/>
    <w:semiHidden/>
    <w:qFormat/>
    <w:locked/>
    <w:uiPriority w:val="99"/>
    <w:rPr>
      <w:rFonts w:cs="Times New Roman"/>
      <w:sz w:val="18"/>
      <w:szCs w:val="18"/>
    </w:rPr>
  </w:style>
  <w:style w:type="character" w:customStyle="1" w:styleId="30">
    <w:name w:val="Plain Text Char"/>
    <w:basedOn w:val="14"/>
    <w:semiHidden/>
    <w:qFormat/>
    <w:locked/>
    <w:uiPriority w:val="99"/>
    <w:rPr>
      <w:rFonts w:ascii="宋体" w:hAnsi="Courier New" w:cs="Courier New"/>
      <w:sz w:val="21"/>
      <w:szCs w:val="21"/>
    </w:rPr>
  </w:style>
  <w:style w:type="character" w:customStyle="1" w:styleId="31">
    <w:name w:val="纯文本 字符"/>
    <w:basedOn w:val="14"/>
    <w:link w:val="6"/>
    <w:qFormat/>
    <w:locked/>
    <w:uiPriority w:val="99"/>
    <w:rPr>
      <w:rFonts w:ascii="宋体" w:hAnsi="Courier New" w:eastAsia="宋体" w:cs="Courier New"/>
      <w:iCs/>
      <w:color w:val="000000"/>
      <w:kern w:val="2"/>
      <w:sz w:val="21"/>
      <w:szCs w:val="21"/>
      <w:lang w:val="en-US" w:eastAsia="zh-CN" w:bidi="ar-SA"/>
    </w:rPr>
  </w:style>
  <w:style w:type="character" w:customStyle="1" w:styleId="32">
    <w:name w:val="apple-converted-space"/>
    <w:basedOn w:val="14"/>
    <w:qFormat/>
    <w:uiPriority w:val="99"/>
    <w:rPr>
      <w:rFonts w:cs="Times New Roman"/>
    </w:rPr>
  </w:style>
  <w:style w:type="paragraph" w:customStyle="1" w:styleId="33">
    <w:name w:val="List Paragraph1"/>
    <w:basedOn w:val="1"/>
    <w:qFormat/>
    <w:uiPriority w:val="99"/>
    <w:pPr>
      <w:ind w:firstLine="420" w:firstLineChars="200"/>
    </w:pPr>
  </w:style>
  <w:style w:type="paragraph" w:customStyle="1" w:styleId="3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5">
    <w:name w:val="xl6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6">
    <w:name w:val="xl66"/>
    <w:basedOn w:val="1"/>
    <w:qFormat/>
    <w:uiPriority w:val="0"/>
    <w:pPr>
      <w:widowControl/>
      <w:shd w:val="clear" w:color="000000" w:fill="FFFFFF"/>
      <w:spacing w:before="100" w:beforeAutospacing="1" w:after="100" w:afterAutospacing="1"/>
      <w:jc w:val="left"/>
    </w:pPr>
    <w:rPr>
      <w:rFonts w:ascii="宋体" w:hAnsi="宋体" w:cs="宋体"/>
      <w:kern w:val="0"/>
      <w:sz w:val="24"/>
      <w:szCs w:val="24"/>
    </w:rPr>
  </w:style>
  <w:style w:type="paragraph" w:customStyle="1" w:styleId="37">
    <w:name w:val="xl67"/>
    <w:basedOn w:val="1"/>
    <w:qFormat/>
    <w:uiPriority w:val="0"/>
    <w:pPr>
      <w:widowControl/>
      <w:shd w:val="clear" w:color="000000" w:fill="F2F2F2"/>
      <w:spacing w:before="100" w:beforeAutospacing="1" w:after="100" w:afterAutospacing="1"/>
      <w:jc w:val="left"/>
    </w:pPr>
    <w:rPr>
      <w:rFonts w:ascii="宋体" w:hAnsi="宋体" w:cs="宋体"/>
      <w:kern w:val="0"/>
      <w:sz w:val="24"/>
      <w:szCs w:val="24"/>
    </w:rPr>
  </w:style>
  <w:style w:type="paragraph" w:customStyle="1" w:styleId="38">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3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0">
    <w:name w:val="xl7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4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4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45">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7">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48">
    <w:name w:val="xl78"/>
    <w:basedOn w:val="1"/>
    <w:qFormat/>
    <w:uiPriority w:val="0"/>
    <w:pPr>
      <w:widowControl/>
      <w:spacing w:before="100" w:beforeAutospacing="1" w:after="100" w:afterAutospacing="1"/>
      <w:jc w:val="left"/>
    </w:pPr>
    <w:rPr>
      <w:rFonts w:ascii="宋体" w:hAnsi="宋体" w:cs="宋体"/>
      <w:color w:val="FF0000"/>
      <w:kern w:val="0"/>
      <w:sz w:val="24"/>
      <w:szCs w:val="24"/>
    </w:rPr>
  </w:style>
  <w:style w:type="paragraph" w:customStyle="1" w:styleId="49">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2"/>
    </w:rPr>
  </w:style>
  <w:style w:type="paragraph" w:customStyle="1" w:styleId="50">
    <w:name w:val="xl80"/>
    <w:basedOn w:val="1"/>
    <w:qFormat/>
    <w:uiPriority w:val="0"/>
    <w:pPr>
      <w:widowControl/>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51">
    <w:name w:val="xl81"/>
    <w:basedOn w:val="1"/>
    <w:qFormat/>
    <w:uiPriority w:val="0"/>
    <w:pPr>
      <w:widowControl/>
      <w:shd w:val="clear" w:color="000000" w:fill="F2F2F2"/>
      <w:spacing w:before="100" w:beforeAutospacing="1" w:after="100" w:afterAutospacing="1"/>
      <w:jc w:val="left"/>
    </w:pPr>
    <w:rPr>
      <w:rFonts w:ascii="宋体" w:hAnsi="宋体" w:cs="宋体"/>
      <w:color w:val="FF0000"/>
      <w:kern w:val="0"/>
      <w:sz w:val="24"/>
      <w:szCs w:val="24"/>
    </w:rPr>
  </w:style>
  <w:style w:type="paragraph" w:customStyle="1" w:styleId="52">
    <w:name w:val="xl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3">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4">
    <w:name w:val="xl84"/>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5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5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
    <w:name w:val="xl88"/>
    <w:basedOn w:val="1"/>
    <w:qFormat/>
    <w:uiPriority w:val="0"/>
    <w:pPr>
      <w:widowControl/>
      <w:pBdr>
        <w:left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59">
    <w:name w:val="xl89"/>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60">
    <w:name w:val="xl9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2"/>
    </w:rPr>
  </w:style>
  <w:style w:type="paragraph" w:customStyle="1" w:styleId="61">
    <w:name w:val="xl9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64">
    <w:name w:val="xl9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18"/>
      <w:szCs w:val="18"/>
    </w:rPr>
  </w:style>
  <w:style w:type="paragraph" w:customStyle="1" w:styleId="65">
    <w:name w:val="xl9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6">
    <w:name w:val="xl9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67">
    <w:name w:val="xl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8">
    <w:name w:val="xl98"/>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9">
    <w:name w:val="xl99"/>
    <w:basedOn w:val="1"/>
    <w:qFormat/>
    <w:uiPriority w:val="0"/>
    <w:pPr>
      <w:widowControl/>
      <w:pBdr>
        <w:top w:val="single" w:color="auto" w:sz="4" w:space="0"/>
        <w:bottom w:val="single" w:color="auto" w:sz="4" w:space="0"/>
        <w:right w:val="single" w:color="auto" w:sz="8" w:space="0"/>
      </w:pBdr>
      <w:spacing w:before="100" w:beforeAutospacing="1" w:after="100" w:afterAutospacing="1"/>
      <w:jc w:val="left"/>
    </w:pPr>
    <w:rPr>
      <w:rFonts w:ascii="宋体" w:hAnsi="宋体" w:cs="宋体"/>
      <w:kern w:val="0"/>
      <w:sz w:val="24"/>
      <w:szCs w:val="24"/>
    </w:rPr>
  </w:style>
  <w:style w:type="paragraph" w:customStyle="1" w:styleId="70">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71">
    <w:name w:val="xl101"/>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72">
    <w:name w:val="xl102"/>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3">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4">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5">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6">
    <w:name w:val="xl106"/>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7">
    <w:name w:val="xl107"/>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78">
    <w:name w:val="xl108"/>
    <w:basedOn w:val="1"/>
    <w:qFormat/>
    <w:uiPriority w:val="0"/>
    <w:pPr>
      <w:widowControl/>
      <w:pBdr>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79">
    <w:name w:val="xl10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80">
    <w:name w:val="xl110"/>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1">
    <w:name w:val="xl111"/>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82">
    <w:name w:val="xl112"/>
    <w:basedOn w:val="1"/>
    <w:qFormat/>
    <w:uiPriority w:val="0"/>
    <w:pPr>
      <w:widowControl/>
      <w:pBdr>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3">
    <w:name w:val="xl11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84">
    <w:name w:val="xl11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85">
    <w:name w:val="xl115"/>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6">
    <w:name w:val="xl116"/>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87">
    <w:name w:val="xl117"/>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宋体" w:hAnsi="宋体" w:cs="宋体"/>
      <w:kern w:val="0"/>
      <w:sz w:val="24"/>
      <w:szCs w:val="24"/>
    </w:rPr>
  </w:style>
  <w:style w:type="paragraph" w:customStyle="1" w:styleId="88">
    <w:name w:val="xl118"/>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4"/>
      <w:szCs w:val="24"/>
    </w:rPr>
  </w:style>
  <w:style w:type="paragraph" w:customStyle="1" w:styleId="89">
    <w:name w:val="xl119"/>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0">
    <w:name w:val="xl120"/>
    <w:basedOn w:val="1"/>
    <w:qFormat/>
    <w:uiPriority w:val="0"/>
    <w:pPr>
      <w:widowControl/>
      <w:pBdr>
        <w:left w:val="single" w:color="auto" w:sz="4" w:space="0"/>
      </w:pBdr>
      <w:spacing w:before="100" w:beforeAutospacing="1" w:after="100" w:afterAutospacing="1"/>
      <w:jc w:val="center"/>
    </w:pPr>
    <w:rPr>
      <w:rFonts w:ascii="宋体" w:hAnsi="宋体" w:cs="宋体"/>
      <w:kern w:val="0"/>
      <w:sz w:val="24"/>
      <w:szCs w:val="24"/>
    </w:rPr>
  </w:style>
  <w:style w:type="paragraph" w:customStyle="1" w:styleId="91">
    <w:name w:val="xl121"/>
    <w:basedOn w:val="1"/>
    <w:qFormat/>
    <w:uiPriority w:val="0"/>
    <w:pPr>
      <w:widowControl/>
      <w:pBdr>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
    <w:name w:val="xl12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93">
    <w:name w:val="xl12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4">
    <w:name w:val="xl1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5">
    <w:name w:val="xl12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6">
    <w:name w:val="xl1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7">
    <w:name w:val="xl127"/>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8">
    <w:name w:val="xl128"/>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99">
    <w:name w:val="xl129"/>
    <w:basedOn w:val="1"/>
    <w:qFormat/>
    <w:uiPriority w:val="0"/>
    <w:pPr>
      <w:widowControl/>
      <w:pBdr>
        <w:left w:val="single" w:color="auto" w:sz="4" w:space="0"/>
        <w:bottom w:val="single" w:color="auto" w:sz="4" w:space="0"/>
        <w:right w:val="single" w:color="auto" w:sz="4" w:space="0"/>
      </w:pBdr>
      <w:shd w:val="clear" w:color="000000" w:fill="F2F2F2"/>
      <w:spacing w:before="100" w:beforeAutospacing="1" w:after="100" w:afterAutospacing="1"/>
      <w:jc w:val="center"/>
    </w:pPr>
    <w:rPr>
      <w:rFonts w:ascii="宋体" w:hAnsi="宋体" w:cs="宋体"/>
      <w:kern w:val="0"/>
      <w:sz w:val="24"/>
      <w:szCs w:val="24"/>
    </w:rPr>
  </w:style>
  <w:style w:type="paragraph" w:customStyle="1" w:styleId="100">
    <w:name w:val="xl130"/>
    <w:basedOn w:val="1"/>
    <w:qFormat/>
    <w:uiPriority w:val="0"/>
    <w:pPr>
      <w:widowControl/>
      <w:pBdr>
        <w:top w:val="single" w:color="auto" w:sz="4" w:space="0"/>
      </w:pBdr>
      <w:spacing w:before="100" w:beforeAutospacing="1" w:after="100" w:afterAutospacing="1"/>
      <w:jc w:val="center"/>
    </w:pPr>
    <w:rPr>
      <w:rFonts w:ascii="宋体" w:hAnsi="宋体" w:cs="宋体"/>
      <w:kern w:val="0"/>
      <w:sz w:val="24"/>
      <w:szCs w:val="24"/>
    </w:rPr>
  </w:style>
  <w:style w:type="paragraph" w:customStyle="1" w:styleId="101">
    <w:name w:val="xl131"/>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102">
    <w:name w:val="xl132"/>
    <w:basedOn w:val="1"/>
    <w:qFormat/>
    <w:uiPriority w:val="0"/>
    <w:pPr>
      <w:widowControl/>
      <w:pBdr>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3">
    <w:name w:val="xl13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4">
    <w:name w:val="xl13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szCs w:val="24"/>
    </w:rPr>
  </w:style>
  <w:style w:type="paragraph" w:customStyle="1" w:styleId="105">
    <w:name w:val="xl1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styleId="106">
    <w:name w:val="List Paragraph"/>
    <w:basedOn w:val="1"/>
    <w:qFormat/>
    <w:uiPriority w:val="34"/>
    <w:pPr>
      <w:widowControl/>
      <w:ind w:firstLine="420" w:firstLineChars="200"/>
      <w:jc w:val="left"/>
    </w:pPr>
    <w:rPr>
      <w:rFonts w:ascii="宋体" w:hAnsi="宋体" w:cs="宋体"/>
      <w:kern w:val="0"/>
      <w:sz w:val="24"/>
      <w:szCs w:val="24"/>
    </w:rPr>
  </w:style>
  <w:style w:type="paragraph" w:customStyle="1" w:styleId="107">
    <w:name w:val="表格"/>
    <w:basedOn w:val="1"/>
    <w:link w:val="108"/>
    <w:qFormat/>
    <w:uiPriority w:val="0"/>
    <w:pPr>
      <w:jc w:val="center"/>
    </w:pPr>
    <w:rPr>
      <w:szCs w:val="21"/>
    </w:rPr>
  </w:style>
  <w:style w:type="character" w:customStyle="1" w:styleId="108">
    <w:name w:val="表格 字符"/>
    <w:basedOn w:val="14"/>
    <w:link w:val="107"/>
    <w:qFormat/>
    <w:uiPriority w:val="0"/>
    <w:rPr>
      <w:rFonts w:ascii="Calibri" w:hAnsi="Calibri"/>
      <w:kern w:val="2"/>
      <w:sz w:val="21"/>
      <w:szCs w:val="21"/>
    </w:rPr>
  </w:style>
  <w:style w:type="character" w:customStyle="1" w:styleId="109">
    <w:name w:val="Unresolved Mention"/>
    <w:basedOn w:val="14"/>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2206</Words>
  <Characters>2370</Characters>
  <Lines>18</Lines>
  <Paragraphs>5</Paragraphs>
  <TotalTime>215</TotalTime>
  <ScaleCrop>false</ScaleCrop>
  <LinksUpToDate>false</LinksUpToDate>
  <CharactersWithSpaces>2392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2018-09-13T07:17:00Z</dcterms:created>
  <dc:creator>王涛</dc:creator>
  <cp:lastModifiedBy>竹君</cp:lastModifiedBy>
  <dcterms:modified xsi:type="dcterms:W3CDTF">2025-12-23T07:08:30Z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40F9FB719D8DC0962D83916204AD5551</vt:lpwstr>
  </property>
  <property fmtid="{D5CDD505-2E9C-101B-9397-08002B2CF9AE}" pid="4" name="KSOTemplateDocerSaveRecord">
    <vt:lpwstr>eyJoZGlkIjoiMGQxZTQ4ZWQwN2VjYzM0OGQ1Y2NhY2I0MTQ3YjVkYmUiLCJ1c2VySWQiOiI4OTA1OTA3NjAifQ==</vt:lpwstr>
  </property>
</Properties>
</file>